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392A" w:rsidRPr="009B65C8" w:rsidTr="00943F87">
        <w:tc>
          <w:tcPr>
            <w:tcW w:w="9639" w:type="dxa"/>
            <w:shd w:val="clear" w:color="auto" w:fill="1F4E79" w:themeFill="accent1" w:themeFillShade="80"/>
          </w:tcPr>
          <w:p w:rsidR="002A728E" w:rsidRPr="009B65C8" w:rsidRDefault="00993CB8" w:rsidP="00C5392A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9B65C8">
              <w:rPr>
                <w:rFonts w:ascii="Arial" w:hAnsi="Arial" w:cs="Arial"/>
                <w:b/>
                <w:color w:val="FFFFFF" w:themeColor="background1"/>
              </w:rPr>
              <w:t>General H&amp;S Update</w:t>
            </w: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091028" w:rsidP="00091028">
            <w:pPr>
              <w:rPr>
                <w:rFonts w:ascii="Arial" w:hAnsi="Arial" w:cs="Arial"/>
                <w:i/>
              </w:rPr>
            </w:pPr>
          </w:p>
          <w:p w:rsidR="00A01678" w:rsidRPr="009B65C8" w:rsidRDefault="000E4ED3" w:rsidP="000E4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and workstation ergonomics training can now be completed online in Disc</w:t>
            </w:r>
            <w:r w:rsidR="00416F34">
              <w:rPr>
                <w:rFonts w:ascii="Arial" w:hAnsi="Arial" w:cs="Arial"/>
              </w:rPr>
              <w:t>over.</w:t>
            </w:r>
            <w:r w:rsidR="00DE2F2A">
              <w:rPr>
                <w:rFonts w:ascii="Arial" w:hAnsi="Arial" w:cs="Arial"/>
              </w:rPr>
              <w:t xml:space="preserve"> PHD and RHD student access to Discover is currently being assessed</w:t>
            </w:r>
            <w:r w:rsidR="00CC1AB1">
              <w:rPr>
                <w:rFonts w:ascii="Arial" w:hAnsi="Arial" w:cs="Arial"/>
              </w:rPr>
              <w:t xml:space="preserve"> and is expected to be available by the end of March</w:t>
            </w:r>
            <w:r w:rsidR="00DE2F2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0E2901" w:rsidRPr="009B65C8">
              <w:rPr>
                <w:rFonts w:ascii="Arial" w:hAnsi="Arial" w:cs="Arial"/>
              </w:rPr>
              <w:t xml:space="preserve"> </w:t>
            </w: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091028" w:rsidP="00091028">
            <w:pPr>
              <w:rPr>
                <w:rFonts w:ascii="Arial" w:hAnsi="Arial" w:cs="Arial"/>
              </w:rPr>
            </w:pPr>
          </w:p>
        </w:tc>
      </w:tr>
      <w:tr w:rsidR="00091028" w:rsidRPr="009B65C8" w:rsidTr="00943F87">
        <w:tc>
          <w:tcPr>
            <w:tcW w:w="9639" w:type="dxa"/>
            <w:shd w:val="clear" w:color="auto" w:fill="1F4E79" w:themeFill="accent1" w:themeFillShade="80"/>
          </w:tcPr>
          <w:p w:rsidR="00091028" w:rsidRPr="009B65C8" w:rsidRDefault="00091028" w:rsidP="00091028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ascii="Arial" w:hAnsi="Arial" w:cs="Arial"/>
                <w:b/>
                <w:color w:val="FFFFFF" w:themeColor="background1"/>
              </w:rPr>
            </w:pPr>
            <w:r w:rsidRPr="009B65C8">
              <w:rPr>
                <w:rFonts w:ascii="Arial" w:hAnsi="Arial" w:cs="Arial"/>
                <w:b/>
                <w:color w:val="FFFFFF" w:themeColor="background1"/>
              </w:rPr>
              <w:t>H&amp;S Training</w:t>
            </w:r>
          </w:p>
        </w:tc>
      </w:tr>
      <w:tr w:rsidR="00091028" w:rsidRPr="009B65C8" w:rsidTr="00CD3E41">
        <w:trPr>
          <w:trHeight w:val="2146"/>
        </w:trPr>
        <w:tc>
          <w:tcPr>
            <w:tcW w:w="9639" w:type="dxa"/>
          </w:tcPr>
          <w:p w:rsidR="00091028" w:rsidRPr="009B65C8" w:rsidRDefault="00091028" w:rsidP="00091028">
            <w:pPr>
              <w:spacing w:before="120" w:after="120"/>
              <w:rPr>
                <w:rFonts w:ascii="Arial" w:hAnsi="Arial" w:cs="Arial"/>
              </w:rPr>
            </w:pPr>
            <w:r w:rsidRPr="009B65C8">
              <w:rPr>
                <w:rFonts w:ascii="Arial" w:hAnsi="Arial" w:cs="Arial"/>
              </w:rPr>
              <w:t>The following H&amp;S Training programs have been scheduled and can be booked through Discover</w:t>
            </w:r>
            <w:r w:rsidR="00CC1AB1">
              <w:rPr>
                <w:rFonts w:ascii="Arial" w:hAnsi="Arial" w:cs="Arial"/>
              </w:rPr>
              <w:t xml:space="preserve"> by UON staff</w:t>
            </w:r>
            <w:r w:rsidRPr="009B65C8">
              <w:rPr>
                <w:rFonts w:ascii="Arial" w:hAnsi="Arial" w:cs="Arial"/>
              </w:rPr>
              <w:t>.</w:t>
            </w:r>
            <w:r w:rsidR="00CC1AB1">
              <w:rPr>
                <w:rFonts w:ascii="Arial" w:hAnsi="Arial" w:cs="Arial"/>
              </w:rPr>
              <w:t xml:space="preserve"> Staff from other organisations can check with UON Health and Safety if they are interested in any course.</w:t>
            </w:r>
            <w:r w:rsidRPr="009B65C8">
              <w:rPr>
                <w:rFonts w:ascii="Arial" w:hAnsi="Arial" w:cs="Arial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80"/>
              <w:tblW w:w="9413" w:type="dxa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091028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Course Name</w:t>
                  </w:r>
                </w:p>
              </w:tc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Session Start Date</w:t>
                  </w:r>
                </w:p>
              </w:tc>
            </w:tr>
            <w:tr w:rsidR="00507275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275" w:rsidRPr="009B65C8" w:rsidRDefault="00507275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AIMS: An introduction to the incident management system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275" w:rsidRPr="009B65C8" w:rsidRDefault="00507275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Log into </w:t>
                  </w:r>
                  <w:hyperlink r:id="rId8" w:history="1">
                    <w:r w:rsidRPr="009B65C8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en-AU"/>
                      </w:rPr>
                      <w:t>Discover</w:t>
                    </w:r>
                  </w:hyperlink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and complete online</w:t>
                  </w:r>
                </w:p>
              </w:tc>
            </w:tr>
            <w:tr w:rsidR="00933A4B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933A4B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Manual Handling training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933A4B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Log into </w:t>
                  </w:r>
                  <w:hyperlink r:id="rId9" w:history="1">
                    <w:r w:rsidRPr="009B65C8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en-AU"/>
                      </w:rPr>
                      <w:t>Discover</w:t>
                    </w:r>
                  </w:hyperlink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and complete online</w:t>
                  </w:r>
                </w:p>
              </w:tc>
            </w:tr>
            <w:tr w:rsidR="00933A4B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933A4B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Workstation ergonomics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933A4B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Log into </w:t>
                  </w:r>
                  <w:hyperlink r:id="rId10" w:history="1">
                    <w:r w:rsidRPr="009B65C8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en-AU"/>
                      </w:rPr>
                      <w:t>Discover</w:t>
                    </w:r>
                  </w:hyperlink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and complete online</w:t>
                  </w:r>
                </w:p>
              </w:tc>
            </w:tr>
            <w:tr w:rsidR="00933A4B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Driver Awareness – Raymond Terrace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April</w:t>
                  </w:r>
                </w:p>
              </w:tc>
            </w:tr>
            <w:tr w:rsidR="00CC1AB1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AB1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Laser safety - Callaghan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AB1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March</w:t>
                  </w:r>
                </w:p>
              </w:tc>
            </w:tr>
            <w:tr w:rsidR="00CC1AB1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AB1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Liquid Nitrogen Safety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AB1" w:rsidRDefault="00CC1AB1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Mar, 28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June, 16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Sept, 6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Dec</w:t>
                  </w:r>
                </w:p>
              </w:tc>
            </w:tr>
            <w:tr w:rsidR="00091028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Mental Health First Aid Workshop</w:t>
                  </w:r>
                </w:p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(Note: online theory needed before attending 1 day workshop) </w:t>
                  </w:r>
                  <w:r w:rsidR="00507275"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Contact </w:t>
                  </w:r>
                  <w:hyperlink r:id="rId11" w:history="1">
                    <w:r w:rsidR="00507275" w:rsidRPr="009B65C8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en-AU"/>
                      </w:rPr>
                      <w:t>Usafe@newcastle.edu.au</w:t>
                    </w:r>
                  </w:hyperlink>
                  <w:r w:rsidR="00507275"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1028" w:rsidRPr="009B65C8" w:rsidRDefault="000557BD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No dates currently scheduled</w:t>
                  </w:r>
                </w:p>
              </w:tc>
            </w:tr>
            <w:tr w:rsidR="00933A4B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933A4B" w:rsidP="00933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Mental Health First Aid Refresher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3A4B" w:rsidRPr="009B65C8" w:rsidRDefault="00CC1AB1" w:rsidP="00CC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  <w:r w:rsidRPr="00CC1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June</w:t>
                  </w:r>
                </w:p>
              </w:tc>
            </w:tr>
            <w:tr w:rsidR="00091028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Resilience Through Change</w:t>
                  </w:r>
                </w:p>
              </w:tc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6969" w:rsidRDefault="00576969" w:rsidP="00933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:rsidR="00576969" w:rsidRDefault="00576969" w:rsidP="00933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Ourimbah 19</w:t>
                  </w:r>
                  <w:r w:rsidRP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Mar</w:t>
                  </w:r>
                </w:p>
                <w:p w:rsidR="00091028" w:rsidRPr="009B65C8" w:rsidRDefault="00091028" w:rsidP="005769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Callaghan </w:t>
                  </w:r>
                  <w:r w:rsidR="00933A4B"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–</w:t>
                  </w: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  <w:r w:rsidR="00576969" w:rsidRP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 w:rsid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April, 25</w:t>
                  </w:r>
                  <w:r w:rsidR="00576969" w:rsidRP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en-AU"/>
                    </w:rPr>
                    <w:t>th</w:t>
                  </w:r>
                  <w:r w:rsidR="005769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June</w:t>
                  </w:r>
                </w:p>
              </w:tc>
            </w:tr>
            <w:tr w:rsidR="00091028" w:rsidRPr="009B65C8" w:rsidTr="008759A3">
              <w:trPr>
                <w:trHeight w:val="300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8">
                    <w:rPr>
                      <w:rFonts w:ascii="Arial" w:hAnsi="Arial" w:cs="Arial"/>
                      <w:sz w:val="20"/>
                      <w:szCs w:val="20"/>
                    </w:rPr>
                    <w:t>First Aid</w:t>
                  </w:r>
                  <w:r w:rsidR="00933A4B" w:rsidRPr="009B65C8">
                    <w:rPr>
                      <w:rFonts w:ascii="Arial" w:hAnsi="Arial" w:cs="Arial"/>
                      <w:sz w:val="20"/>
                      <w:szCs w:val="20"/>
                    </w:rPr>
                    <w:t xml:space="preserve"> and CPR</w:t>
                  </w:r>
                </w:p>
                <w:p w:rsidR="00091028" w:rsidRPr="009B65C8" w:rsidRDefault="00091028" w:rsidP="0009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(Note: online theory needs to be completed before attending training)</w:t>
                  </w:r>
                </w:p>
              </w:tc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275" w:rsidRPr="009B65C8" w:rsidRDefault="00033FA8" w:rsidP="005072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Refer to </w:t>
                  </w:r>
                  <w:hyperlink r:id="rId12" w:history="1">
                    <w:r w:rsidRPr="007353B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usafe@newcastle.edu.au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91028" w:rsidRPr="009B65C8" w:rsidRDefault="00091028" w:rsidP="00091028">
            <w:pPr>
              <w:rPr>
                <w:rFonts w:ascii="Arial" w:hAnsi="Arial" w:cs="Arial"/>
              </w:rPr>
            </w:pP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9C7F1F" w:rsidP="00091028">
            <w:pPr>
              <w:rPr>
                <w:rFonts w:ascii="Arial" w:hAnsi="Arial" w:cs="Arial"/>
              </w:rPr>
            </w:pPr>
            <w:r>
              <w:br w:type="page"/>
            </w:r>
          </w:p>
        </w:tc>
      </w:tr>
      <w:tr w:rsidR="00091028" w:rsidRPr="009B65C8" w:rsidTr="00943F87">
        <w:tc>
          <w:tcPr>
            <w:tcW w:w="9639" w:type="dxa"/>
            <w:shd w:val="clear" w:color="auto" w:fill="D9E2F3" w:themeFill="accent5" w:themeFillTint="33"/>
          </w:tcPr>
          <w:p w:rsidR="00091028" w:rsidRPr="009B65C8" w:rsidRDefault="00091028" w:rsidP="00091028">
            <w:pPr>
              <w:rPr>
                <w:rFonts w:ascii="Arial" w:hAnsi="Arial" w:cs="Arial"/>
                <w:b/>
              </w:rPr>
            </w:pPr>
          </w:p>
        </w:tc>
      </w:tr>
      <w:tr w:rsidR="00091028" w:rsidRPr="009B65C8" w:rsidTr="00943F87">
        <w:tc>
          <w:tcPr>
            <w:tcW w:w="9639" w:type="dxa"/>
          </w:tcPr>
          <w:p w:rsidR="00091028" w:rsidRPr="00E96526" w:rsidRDefault="00091028" w:rsidP="00091028">
            <w:pPr>
              <w:pStyle w:val="ListParagraph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091028" w:rsidP="000910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28" w:rsidRPr="009B65C8" w:rsidTr="00943F87">
        <w:tc>
          <w:tcPr>
            <w:tcW w:w="9639" w:type="dxa"/>
            <w:shd w:val="clear" w:color="auto" w:fill="1F4E79" w:themeFill="accent1" w:themeFillShade="80"/>
          </w:tcPr>
          <w:p w:rsidR="00091028" w:rsidRPr="009B65C8" w:rsidRDefault="00091028" w:rsidP="00091028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ascii="Arial" w:hAnsi="Arial" w:cs="Arial"/>
                <w:b/>
                <w:color w:val="FFFFFF" w:themeColor="background1"/>
              </w:rPr>
            </w:pPr>
            <w:r w:rsidRPr="009B65C8">
              <w:rPr>
                <w:rFonts w:ascii="Arial" w:hAnsi="Arial" w:cs="Arial"/>
                <w:b/>
                <w:color w:val="FFFFFF" w:themeColor="background1"/>
              </w:rPr>
              <w:t>Audit</w:t>
            </w: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091028" w:rsidP="000910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1D90" w:rsidRPr="009B65C8" w:rsidTr="00943F87">
        <w:tc>
          <w:tcPr>
            <w:tcW w:w="9639" w:type="dxa"/>
          </w:tcPr>
          <w:p w:rsidR="00011D90" w:rsidRPr="00C85362" w:rsidRDefault="00011D90" w:rsidP="00011D90">
            <w:pPr>
              <w:spacing w:before="40" w:after="40"/>
              <w:rPr>
                <w:i/>
              </w:rPr>
            </w:pPr>
            <w:r w:rsidRPr="00C85362">
              <w:rPr>
                <w:i/>
              </w:rPr>
              <w:t>Internal Audits</w:t>
            </w:r>
          </w:p>
        </w:tc>
      </w:tr>
      <w:tr w:rsidR="00011D90" w:rsidRPr="009B65C8" w:rsidTr="00943F87">
        <w:tc>
          <w:tcPr>
            <w:tcW w:w="9639" w:type="dxa"/>
          </w:tcPr>
          <w:p w:rsidR="00011D90" w:rsidRPr="00A2191D" w:rsidRDefault="00CB3C95" w:rsidP="007C1E47">
            <w:r w:rsidRPr="007C1E47">
              <w:rPr>
                <w:rFonts w:ascii="Arial" w:hAnsi="Arial" w:cs="Arial"/>
              </w:rPr>
              <w:t xml:space="preserve">The 2019 schedule will be developed in the near future and </w:t>
            </w:r>
            <w:r w:rsidR="00F90624">
              <w:rPr>
                <w:rFonts w:ascii="Arial" w:hAnsi="Arial" w:cs="Arial"/>
              </w:rPr>
              <w:t>the H&amp;S team are reviewing the content to make it more valuable to the auditees. T</w:t>
            </w:r>
            <w:r w:rsidR="00706AC3" w:rsidRPr="007C1E47">
              <w:rPr>
                <w:rFonts w:ascii="Arial" w:hAnsi="Arial" w:cs="Arial"/>
              </w:rPr>
              <w:t xml:space="preserve">he planning will be dependent on the overview of H&amp;S management for the University under the new leadership. </w:t>
            </w:r>
          </w:p>
          <w:p w:rsidR="00011D90" w:rsidRPr="000A501C" w:rsidRDefault="00011D90" w:rsidP="00011D90">
            <w:pPr>
              <w:pStyle w:val="ListParagraph"/>
              <w:ind w:left="360"/>
            </w:pPr>
          </w:p>
        </w:tc>
      </w:tr>
      <w:tr w:rsidR="00091028" w:rsidRPr="009B65C8" w:rsidTr="00943F87">
        <w:tc>
          <w:tcPr>
            <w:tcW w:w="9639" w:type="dxa"/>
          </w:tcPr>
          <w:p w:rsidR="00091028" w:rsidRPr="009B65C8" w:rsidRDefault="00091028" w:rsidP="000910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28" w:rsidRPr="009B65C8" w:rsidTr="00943F87">
        <w:tc>
          <w:tcPr>
            <w:tcW w:w="9639" w:type="dxa"/>
            <w:shd w:val="clear" w:color="auto" w:fill="1F4E79" w:themeFill="accent1" w:themeFillShade="80"/>
          </w:tcPr>
          <w:p w:rsidR="00091028" w:rsidRPr="009B65C8" w:rsidRDefault="00B43A7A" w:rsidP="00091028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Incidents reported (See also attached)</w:t>
            </w:r>
          </w:p>
        </w:tc>
      </w:tr>
      <w:tr w:rsidR="00091028" w:rsidRPr="009B65C8" w:rsidTr="008513C7">
        <w:tc>
          <w:tcPr>
            <w:tcW w:w="9639" w:type="dxa"/>
          </w:tcPr>
          <w:p w:rsidR="00B43A7A" w:rsidRDefault="00B43A7A" w:rsidP="009B6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period from Oct 2018 until Mar 2019, there have been 58 incidents reported in the UON Incident Management System.</w:t>
            </w:r>
          </w:p>
          <w:p w:rsidR="00E0139C" w:rsidRDefault="00877CEB" w:rsidP="009B6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662699</wp:posOffset>
                  </wp:positionH>
                  <wp:positionV relativeFrom="paragraph">
                    <wp:posOffset>69432</wp:posOffset>
                  </wp:positionV>
                  <wp:extent cx="4560425" cy="1735567"/>
                  <wp:effectExtent l="0" t="0" r="12065" b="17145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139C" w:rsidRDefault="00E0139C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E0139C" w:rsidRDefault="00E0139C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E0139C" w:rsidRDefault="00E0139C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513C7" w:rsidRDefault="008513C7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091028" w:rsidRPr="009B65C8" w:rsidRDefault="009B65C8" w:rsidP="009B65C8">
            <w:pPr>
              <w:spacing w:before="120" w:after="120"/>
              <w:rPr>
                <w:rFonts w:ascii="Arial" w:hAnsi="Arial" w:cs="Arial"/>
              </w:rPr>
            </w:pPr>
            <w:r w:rsidRPr="009B65C8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8513C7" w:rsidRPr="009B65C8" w:rsidTr="00877CEB">
        <w:tc>
          <w:tcPr>
            <w:tcW w:w="9639" w:type="dxa"/>
          </w:tcPr>
          <w:p w:rsidR="008513C7" w:rsidRDefault="008513C7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  <w:p w:rsidR="00877CEB" w:rsidRDefault="00877CEB" w:rsidP="009B6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91028" w:rsidRPr="009B65C8" w:rsidTr="0094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2F560A" w:rsidRPr="002F560A" w:rsidRDefault="00091028" w:rsidP="002F560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9B65C8">
              <w:rPr>
                <w:rFonts w:ascii="Arial" w:hAnsi="Arial" w:cs="Arial"/>
                <w:b/>
                <w:color w:val="FFFFFF" w:themeColor="background1"/>
              </w:rPr>
              <w:t>Changes to Legislation, Systems or equipment</w:t>
            </w:r>
          </w:p>
        </w:tc>
      </w:tr>
      <w:tr w:rsidR="00091028" w:rsidRPr="009B65C8" w:rsidTr="0094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91028" w:rsidRPr="00F90624" w:rsidRDefault="00091028" w:rsidP="00091028">
            <w:pPr>
              <w:spacing w:before="40" w:after="40"/>
              <w:rPr>
                <w:rFonts w:ascii="Arial" w:hAnsi="Arial" w:cs="Arial"/>
                <w:i/>
              </w:rPr>
            </w:pPr>
          </w:p>
          <w:p w:rsidR="00091028" w:rsidRPr="00F90624" w:rsidRDefault="00F90624" w:rsidP="00F90624">
            <w:pPr>
              <w:spacing w:before="40" w:after="40"/>
              <w:rPr>
                <w:rFonts w:ascii="Arial" w:hAnsi="Arial" w:cs="Arial"/>
              </w:rPr>
            </w:pPr>
            <w:r w:rsidRPr="00F90624">
              <w:rPr>
                <w:rFonts w:ascii="Arial" w:hAnsi="Arial" w:cs="Arial"/>
              </w:rPr>
              <w:t xml:space="preserve">SafeWork Australia have released the </w:t>
            </w:r>
            <w:hyperlink r:id="rId14" w:history="1">
              <w:r w:rsidRPr="00F90624">
                <w:rPr>
                  <w:rStyle w:val="Hyperlink"/>
                  <w:rFonts w:ascii="Arial" w:hAnsi="Arial" w:cs="Arial"/>
                </w:rPr>
                <w:t>Work related traumatic injury fatalities Australia 2017</w:t>
              </w:r>
            </w:hyperlink>
            <w:r w:rsidRPr="00F90624">
              <w:rPr>
                <w:rFonts w:ascii="Arial" w:hAnsi="Arial" w:cs="Arial"/>
              </w:rPr>
              <w:t>. The majority of incidents included road and vehicle trauma.</w:t>
            </w:r>
          </w:p>
          <w:p w:rsidR="00F90624" w:rsidRDefault="00F90624" w:rsidP="00F90624">
            <w:pPr>
              <w:spacing w:before="40" w:after="40"/>
              <w:rPr>
                <w:rFonts w:ascii="Arial" w:hAnsi="Arial" w:cs="Arial"/>
              </w:rPr>
            </w:pPr>
            <w:r w:rsidRPr="00F90624">
              <w:rPr>
                <w:rFonts w:ascii="Arial" w:hAnsi="Arial" w:cs="Arial"/>
              </w:rPr>
              <w:t>SafeWork Australia has amended 10 model WHS Codes of Practice. These do not appear to have been adopted by NSW as yet.</w:t>
            </w:r>
          </w:p>
          <w:p w:rsidR="00F90624" w:rsidRPr="00B43A7A" w:rsidRDefault="00B43A7A" w:rsidP="00B43A7A">
            <w:pPr>
              <w:spacing w:before="40" w:after="40"/>
              <w:rPr>
                <w:rFonts w:ascii="Arial" w:hAnsi="Arial" w:cs="Arial"/>
              </w:rPr>
            </w:pPr>
            <w:r w:rsidRPr="00B43A7A">
              <w:rPr>
                <w:rFonts w:ascii="Arial" w:hAnsi="Arial" w:cs="Arial"/>
              </w:rPr>
              <w:t xml:space="preserve">SafeWork </w:t>
            </w:r>
            <w:r w:rsidR="00F90624" w:rsidRPr="00B43A7A">
              <w:rPr>
                <w:rFonts w:ascii="Arial" w:hAnsi="Arial" w:cs="Arial"/>
              </w:rPr>
              <w:t xml:space="preserve">NSW </w:t>
            </w:r>
            <w:r>
              <w:rPr>
                <w:rFonts w:ascii="Arial" w:hAnsi="Arial" w:cs="Arial"/>
              </w:rPr>
              <w:t xml:space="preserve">have advised that they </w:t>
            </w:r>
            <w:r w:rsidR="00F90624" w:rsidRPr="00B43A7A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the </w:t>
            </w:r>
            <w:r w:rsidR="00F90624" w:rsidRPr="00B43A7A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model </w:t>
            </w:r>
            <w:hyperlink r:id="rId15" w:history="1">
              <w:r w:rsidR="00F90624" w:rsidRPr="00B43A7A">
                <w:rPr>
                  <w:rStyle w:val="Hyperlink"/>
                  <w:rFonts w:ascii="Arial" w:hAnsi="Arial" w:cs="Arial"/>
                </w:rPr>
                <w:t>First Aid Code of Practice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091028" w:rsidRPr="009B65C8" w:rsidTr="0094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91028" w:rsidRPr="009B65C8" w:rsidRDefault="00091028" w:rsidP="00091028">
            <w:pPr>
              <w:rPr>
                <w:rFonts w:ascii="Arial" w:hAnsi="Arial" w:cs="Arial"/>
              </w:rPr>
            </w:pPr>
          </w:p>
        </w:tc>
      </w:tr>
      <w:tr w:rsidR="002F560A" w:rsidRPr="002F560A" w:rsidTr="00BF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2F560A" w:rsidRPr="002F560A" w:rsidRDefault="007C1E47" w:rsidP="00BF008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Incident overview 2018</w:t>
            </w:r>
          </w:p>
        </w:tc>
      </w:tr>
    </w:tbl>
    <w:p w:rsidR="00E0139C" w:rsidRDefault="00877CEB" w:rsidP="007C1E47">
      <w:pPr>
        <w:ind w:left="142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731882</wp:posOffset>
            </wp:positionH>
            <wp:positionV relativeFrom="paragraph">
              <wp:posOffset>-4629632</wp:posOffset>
            </wp:positionV>
            <wp:extent cx="4572000" cy="27432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A19F6" w:rsidRDefault="002A19F6" w:rsidP="007C1E4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There were 94</w:t>
      </w:r>
      <w:r w:rsidR="007C1E47">
        <w:rPr>
          <w:rFonts w:ascii="Arial" w:hAnsi="Arial" w:cs="Arial"/>
        </w:rPr>
        <w:t xml:space="preserve"> events reported in 2018</w:t>
      </w:r>
      <w:r>
        <w:rPr>
          <w:rFonts w:ascii="Arial" w:hAnsi="Arial" w:cs="Arial"/>
        </w:rPr>
        <w:t>.</w:t>
      </w:r>
    </w:p>
    <w:p w:rsidR="007C1E47" w:rsidRDefault="00877CEB" w:rsidP="007C1E47">
      <w:pPr>
        <w:ind w:left="142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830444</wp:posOffset>
            </wp:positionH>
            <wp:positionV relativeFrom="paragraph">
              <wp:posOffset>6422</wp:posOffset>
            </wp:positionV>
            <wp:extent cx="4419600" cy="2336800"/>
            <wp:effectExtent l="0" t="0" r="0" b="635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7C1E47">
        <w:rPr>
          <w:rFonts w:ascii="Arial" w:hAnsi="Arial" w:cs="Arial"/>
        </w:rPr>
        <w:t xml:space="preserve"> </w:t>
      </w:r>
    </w:p>
    <w:p w:rsidR="007C1E47" w:rsidRDefault="007C1E47">
      <w:pPr>
        <w:rPr>
          <w:szCs w:val="20"/>
        </w:rPr>
      </w:pPr>
    </w:p>
    <w:p w:rsidR="002A19F6" w:rsidRPr="007C1E47" w:rsidRDefault="002A19F6">
      <w:pPr>
        <w:rPr>
          <w:szCs w:val="20"/>
        </w:rPr>
      </w:pPr>
    </w:p>
    <w:sectPr w:rsidR="002A19F6" w:rsidRPr="007C1E47" w:rsidSect="00877CEB">
      <w:headerReference w:type="default" r:id="rId18"/>
      <w:headerReference w:type="first" r:id="rId19"/>
      <w:pgSz w:w="11906" w:h="16838"/>
      <w:pgMar w:top="993" w:right="568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B" w:rsidRDefault="00EA7EBB" w:rsidP="003F7F92">
      <w:pPr>
        <w:spacing w:after="0" w:line="240" w:lineRule="auto"/>
      </w:pPr>
      <w:r>
        <w:separator/>
      </w:r>
    </w:p>
  </w:endnote>
  <w:endnote w:type="continuationSeparator" w:id="0">
    <w:p w:rsidR="00EA7EBB" w:rsidRDefault="00EA7EBB" w:rsidP="003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B" w:rsidRDefault="00EA7EBB" w:rsidP="003F7F92">
      <w:pPr>
        <w:spacing w:after="0" w:line="240" w:lineRule="auto"/>
      </w:pPr>
      <w:r>
        <w:separator/>
      </w:r>
    </w:p>
  </w:footnote>
  <w:footnote w:type="continuationSeparator" w:id="0">
    <w:p w:rsidR="00EA7EBB" w:rsidRDefault="00EA7EBB" w:rsidP="003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92" w:rsidRDefault="003F7F92">
    <w:pPr>
      <w:pStyle w:val="Header"/>
      <w:rPr>
        <w:sz w:val="8"/>
        <w:szCs w:val="8"/>
      </w:rPr>
    </w:pPr>
  </w:p>
  <w:p w:rsidR="00863C96" w:rsidRPr="00863C96" w:rsidRDefault="00863C96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4"/>
      <w:gridCol w:w="3118"/>
    </w:tblGrid>
    <w:tr w:rsidR="002A728E" w:rsidTr="002A728E">
      <w:tc>
        <w:tcPr>
          <w:tcW w:w="12474" w:type="dxa"/>
          <w:vAlign w:val="center"/>
        </w:tcPr>
        <w:tbl>
          <w:tblPr>
            <w:tblStyle w:val="TableGrid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30"/>
            <w:gridCol w:w="3118"/>
          </w:tblGrid>
          <w:tr w:rsidR="00033FA8" w:rsidRPr="00875D84" w:rsidTr="009A3E8C">
            <w:tc>
              <w:tcPr>
                <w:tcW w:w="7230" w:type="dxa"/>
                <w:vAlign w:val="center"/>
              </w:tcPr>
              <w:p w:rsidR="00033FA8" w:rsidRPr="00875D84" w:rsidRDefault="00033FA8" w:rsidP="00033FA8">
                <w:pPr>
                  <w:pStyle w:val="Header"/>
                  <w:rPr>
                    <w:b/>
                    <w:sz w:val="32"/>
                    <w:szCs w:val="32"/>
                  </w:rPr>
                </w:pPr>
                <w:r w:rsidRPr="00875D84">
                  <w:rPr>
                    <w:b/>
                    <w:sz w:val="32"/>
                    <w:szCs w:val="32"/>
                  </w:rPr>
                  <w:t xml:space="preserve">Health and Safety </w:t>
                </w:r>
                <w:r>
                  <w:rPr>
                    <w:b/>
                    <w:sz w:val="32"/>
                    <w:szCs w:val="32"/>
                  </w:rPr>
                  <w:t>Team</w:t>
                </w:r>
                <w:r w:rsidRPr="00875D84">
                  <w:rPr>
                    <w:b/>
                    <w:sz w:val="32"/>
                    <w:szCs w:val="32"/>
                  </w:rPr>
                  <w:t xml:space="preserve"> Report</w:t>
                </w:r>
              </w:p>
              <w:p w:rsidR="00FE4F7E" w:rsidRDefault="00DB59B3" w:rsidP="00FE4F7E">
                <w:pPr>
                  <w:pStyle w:val="Head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Ourimbah Health and Safety </w:t>
                </w:r>
                <w:r w:rsidR="00033FA8">
                  <w:rPr>
                    <w:sz w:val="28"/>
                    <w:szCs w:val="28"/>
                  </w:rPr>
                  <w:t>Committee</w:t>
                </w:r>
              </w:p>
              <w:p w:rsidR="00033FA8" w:rsidRPr="00875D84" w:rsidRDefault="00FE4F7E" w:rsidP="00FE4F7E">
                <w:pPr>
                  <w:pStyle w:val="Head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  <w:r w:rsidRPr="00FE4F7E">
                  <w:rPr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sz w:val="28"/>
                    <w:szCs w:val="28"/>
                  </w:rPr>
                  <w:t xml:space="preserve"> February </w:t>
                </w:r>
                <w:r w:rsidR="00033FA8" w:rsidRPr="00875D84">
                  <w:rPr>
                    <w:sz w:val="28"/>
                    <w:szCs w:val="28"/>
                  </w:rPr>
                  <w:t>201</w:t>
                </w:r>
                <w:r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3118" w:type="dxa"/>
              </w:tcPr>
              <w:p w:rsidR="00033FA8" w:rsidRPr="00875D84" w:rsidRDefault="00033FA8" w:rsidP="00033FA8">
                <w:pPr>
                  <w:pStyle w:val="Header"/>
                </w:pPr>
                <w:r w:rsidRPr="00875D84">
                  <w:rPr>
                    <w:noProof/>
                    <w:lang w:eastAsia="en-AU"/>
                  </w:rPr>
                  <w:drawing>
                    <wp:inline distT="0" distB="0" distL="0" distR="0" wp14:anchorId="41DF8637" wp14:editId="372CBAE1">
                      <wp:extent cx="1489075" cy="523875"/>
                      <wp:effectExtent l="0" t="0" r="0" b="0"/>
                      <wp:docPr id="24" name="Picture 24" descr="UON_RESTRICTED_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UON_RESTRICTED_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9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A728E" w:rsidRPr="001E66B6" w:rsidRDefault="002A728E" w:rsidP="007103A5">
          <w:pPr>
            <w:pStyle w:val="Header"/>
            <w:rPr>
              <w:sz w:val="28"/>
              <w:szCs w:val="28"/>
            </w:rPr>
          </w:pPr>
        </w:p>
      </w:tc>
      <w:tc>
        <w:tcPr>
          <w:tcW w:w="3118" w:type="dxa"/>
        </w:tcPr>
        <w:p w:rsidR="002A728E" w:rsidRDefault="002A728E" w:rsidP="002A728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94EC36E" wp14:editId="7DAC0C81">
                <wp:extent cx="1489075" cy="523875"/>
                <wp:effectExtent l="0" t="0" r="0" b="0"/>
                <wp:docPr id="25" name="Picture 25" descr="UON_RESTRICTED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ON_RESTRICTED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28E" w:rsidRDefault="002A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817"/>
    <w:multiLevelType w:val="hybridMultilevel"/>
    <w:tmpl w:val="6B3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4A8"/>
    <w:multiLevelType w:val="hybridMultilevel"/>
    <w:tmpl w:val="F1DE9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74286"/>
    <w:multiLevelType w:val="hybridMultilevel"/>
    <w:tmpl w:val="C4C41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764"/>
    <w:multiLevelType w:val="hybridMultilevel"/>
    <w:tmpl w:val="6D88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CF9"/>
    <w:multiLevelType w:val="hybridMultilevel"/>
    <w:tmpl w:val="C0CA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D59"/>
    <w:multiLevelType w:val="hybridMultilevel"/>
    <w:tmpl w:val="CAFCD5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B2DA7"/>
    <w:multiLevelType w:val="hybridMultilevel"/>
    <w:tmpl w:val="17E29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771A4"/>
    <w:multiLevelType w:val="hybridMultilevel"/>
    <w:tmpl w:val="C46C0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7566"/>
    <w:multiLevelType w:val="hybridMultilevel"/>
    <w:tmpl w:val="110A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444C"/>
    <w:multiLevelType w:val="hybridMultilevel"/>
    <w:tmpl w:val="ACC82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F6470"/>
    <w:multiLevelType w:val="hybridMultilevel"/>
    <w:tmpl w:val="CDB64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D5308"/>
    <w:multiLevelType w:val="hybridMultilevel"/>
    <w:tmpl w:val="BBDC83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9F"/>
    <w:rsid w:val="00001AEB"/>
    <w:rsid w:val="00011D90"/>
    <w:rsid w:val="00023393"/>
    <w:rsid w:val="00033FA8"/>
    <w:rsid w:val="00036CB2"/>
    <w:rsid w:val="0004127F"/>
    <w:rsid w:val="000557BD"/>
    <w:rsid w:val="00091028"/>
    <w:rsid w:val="000B4B38"/>
    <w:rsid w:val="000E2901"/>
    <w:rsid w:val="000E4ED3"/>
    <w:rsid w:val="000F55DE"/>
    <w:rsid w:val="00113125"/>
    <w:rsid w:val="00122800"/>
    <w:rsid w:val="001873C8"/>
    <w:rsid w:val="001A1098"/>
    <w:rsid w:val="001B16F8"/>
    <w:rsid w:val="001E3524"/>
    <w:rsid w:val="001E66B6"/>
    <w:rsid w:val="001F575E"/>
    <w:rsid w:val="0020272C"/>
    <w:rsid w:val="0021043D"/>
    <w:rsid w:val="00223710"/>
    <w:rsid w:val="00256C6C"/>
    <w:rsid w:val="00267315"/>
    <w:rsid w:val="00296B14"/>
    <w:rsid w:val="002A19F6"/>
    <w:rsid w:val="002A728E"/>
    <w:rsid w:val="002B44F8"/>
    <w:rsid w:val="002F560A"/>
    <w:rsid w:val="00301EAD"/>
    <w:rsid w:val="00302851"/>
    <w:rsid w:val="00396876"/>
    <w:rsid w:val="003D790A"/>
    <w:rsid w:val="003F7F92"/>
    <w:rsid w:val="00414A22"/>
    <w:rsid w:val="0041598E"/>
    <w:rsid w:val="00416F34"/>
    <w:rsid w:val="00422A43"/>
    <w:rsid w:val="00452E82"/>
    <w:rsid w:val="00453650"/>
    <w:rsid w:val="00455EC0"/>
    <w:rsid w:val="00465280"/>
    <w:rsid w:val="004A2BB3"/>
    <w:rsid w:val="004E7774"/>
    <w:rsid w:val="00504FE6"/>
    <w:rsid w:val="005071BD"/>
    <w:rsid w:val="00507275"/>
    <w:rsid w:val="005502D5"/>
    <w:rsid w:val="00576969"/>
    <w:rsid w:val="00584041"/>
    <w:rsid w:val="00610103"/>
    <w:rsid w:val="00616AF6"/>
    <w:rsid w:val="006265E8"/>
    <w:rsid w:val="0064283A"/>
    <w:rsid w:val="00656556"/>
    <w:rsid w:val="006A331B"/>
    <w:rsid w:val="006F0D8F"/>
    <w:rsid w:val="00706AC3"/>
    <w:rsid w:val="007103A5"/>
    <w:rsid w:val="00727450"/>
    <w:rsid w:val="00731692"/>
    <w:rsid w:val="007625EB"/>
    <w:rsid w:val="00764FAE"/>
    <w:rsid w:val="00770489"/>
    <w:rsid w:val="00771AE9"/>
    <w:rsid w:val="007C1E47"/>
    <w:rsid w:val="007C79D6"/>
    <w:rsid w:val="00830059"/>
    <w:rsid w:val="00846850"/>
    <w:rsid w:val="008513C7"/>
    <w:rsid w:val="008605B2"/>
    <w:rsid w:val="00863C96"/>
    <w:rsid w:val="00875033"/>
    <w:rsid w:val="00875D84"/>
    <w:rsid w:val="0087705B"/>
    <w:rsid w:val="00877CEB"/>
    <w:rsid w:val="008B2476"/>
    <w:rsid w:val="008D57A9"/>
    <w:rsid w:val="0091042E"/>
    <w:rsid w:val="00912E6D"/>
    <w:rsid w:val="00933A4B"/>
    <w:rsid w:val="00943F87"/>
    <w:rsid w:val="009475B0"/>
    <w:rsid w:val="0096094C"/>
    <w:rsid w:val="009645F4"/>
    <w:rsid w:val="00993CB8"/>
    <w:rsid w:val="00994415"/>
    <w:rsid w:val="009A57D9"/>
    <w:rsid w:val="009B65C8"/>
    <w:rsid w:val="009C4271"/>
    <w:rsid w:val="009C7F1F"/>
    <w:rsid w:val="009D411E"/>
    <w:rsid w:val="00A00FEC"/>
    <w:rsid w:val="00A01678"/>
    <w:rsid w:val="00A15948"/>
    <w:rsid w:val="00A230E2"/>
    <w:rsid w:val="00A523C5"/>
    <w:rsid w:val="00A630D4"/>
    <w:rsid w:val="00A6667A"/>
    <w:rsid w:val="00A904C4"/>
    <w:rsid w:val="00AB2202"/>
    <w:rsid w:val="00AD7022"/>
    <w:rsid w:val="00B43A7A"/>
    <w:rsid w:val="00B76AE8"/>
    <w:rsid w:val="00B76D48"/>
    <w:rsid w:val="00B84544"/>
    <w:rsid w:val="00BD6A22"/>
    <w:rsid w:val="00BE34E7"/>
    <w:rsid w:val="00C22910"/>
    <w:rsid w:val="00C5392A"/>
    <w:rsid w:val="00C85362"/>
    <w:rsid w:val="00CA3239"/>
    <w:rsid w:val="00CA42FE"/>
    <w:rsid w:val="00CB3C95"/>
    <w:rsid w:val="00CC1AB1"/>
    <w:rsid w:val="00CC6EC7"/>
    <w:rsid w:val="00CD3E41"/>
    <w:rsid w:val="00CD7E04"/>
    <w:rsid w:val="00CE2F89"/>
    <w:rsid w:val="00D43A41"/>
    <w:rsid w:val="00D704A9"/>
    <w:rsid w:val="00D90A9F"/>
    <w:rsid w:val="00D92366"/>
    <w:rsid w:val="00D95F96"/>
    <w:rsid w:val="00DA1B65"/>
    <w:rsid w:val="00DB59B3"/>
    <w:rsid w:val="00DC6881"/>
    <w:rsid w:val="00DE1E48"/>
    <w:rsid w:val="00DE2F2A"/>
    <w:rsid w:val="00E0139C"/>
    <w:rsid w:val="00E34CEE"/>
    <w:rsid w:val="00E363BB"/>
    <w:rsid w:val="00E816DA"/>
    <w:rsid w:val="00E83949"/>
    <w:rsid w:val="00E96526"/>
    <w:rsid w:val="00EA127F"/>
    <w:rsid w:val="00EA7B73"/>
    <w:rsid w:val="00EA7EBB"/>
    <w:rsid w:val="00EB6A0F"/>
    <w:rsid w:val="00F149EF"/>
    <w:rsid w:val="00F37849"/>
    <w:rsid w:val="00F42F49"/>
    <w:rsid w:val="00F61189"/>
    <w:rsid w:val="00F8284F"/>
    <w:rsid w:val="00F90624"/>
    <w:rsid w:val="00F90E8A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17426-5F2D-4E72-A216-ADD30EE0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92"/>
  </w:style>
  <w:style w:type="paragraph" w:styleId="Footer">
    <w:name w:val="footer"/>
    <w:basedOn w:val="Normal"/>
    <w:link w:val="FooterChar"/>
    <w:uiPriority w:val="99"/>
    <w:unhideWhenUsed/>
    <w:rsid w:val="003F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92"/>
  </w:style>
  <w:style w:type="table" w:styleId="TableGrid">
    <w:name w:val="Table Grid"/>
    <w:basedOn w:val="TableNormal"/>
    <w:uiPriority w:val="59"/>
    <w:rsid w:val="003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.newcastle.edu.au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safe@newcastle.edu.au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afe@newcastle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feworkaustralia.gov.au/system/files/documents/1809/code_of_practice_-_first_aid_in_the_workplace_0.pdf" TargetMode="External"/><Relationship Id="rId10" Type="http://schemas.openxmlformats.org/officeDocument/2006/relationships/hyperlink" Target="https://discover.newcastle.edu.a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iscover.newcastle.edu.au/" TargetMode="External"/><Relationship Id="rId14" Type="http://schemas.openxmlformats.org/officeDocument/2006/relationships/hyperlink" Target="https://www.safeworkaustralia.gov.au/system/files/documents/1812/work-related-traumatic-injury-fatalities-report-201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000"/>
              <a:t>Central</a:t>
            </a:r>
            <a:r>
              <a:rPr lang="en-AU" sz="1000" baseline="0"/>
              <a:t> Coast </a:t>
            </a:r>
            <a:r>
              <a:rPr lang="en-AU" sz="1000"/>
              <a:t>Incidents by type Oct 18- Mar 19</a:t>
            </a:r>
          </a:p>
        </c:rich>
      </c:tx>
      <c:layout>
        <c:manualLayout>
          <c:xMode val="edge"/>
          <c:yMode val="edge"/>
          <c:x val="0.30289018978480742"/>
          <c:y val="6.723681943369442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746476740220672E-2"/>
          <c:y val="0.1409413264120033"/>
          <c:w val="0.8344312502655723"/>
          <c:h val="0.61747763467739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Hazards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Sheet1!$A$7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7-46BE-8372-B63B33DC141C}"/>
            </c:ext>
          </c:extLst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Near Misses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Sheet1!$B$7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A7-46BE-8372-B63B33DC141C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Medical Treatment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Sheet1!$C$7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A7-46BE-8372-B63B33DC141C}"/>
            </c:ext>
          </c:extLst>
        </c:ser>
        <c:ser>
          <c:idx val="3"/>
          <c:order val="3"/>
          <c:tx>
            <c:strRef>
              <c:f>Sheet1!$D$6</c:f>
              <c:strCache>
                <c:ptCount val="1"/>
                <c:pt idx="0">
                  <c:v>Lost Time Injuries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A7-46BE-8372-B63B33DC141C}"/>
            </c:ext>
          </c:extLst>
        </c:ser>
        <c:ser>
          <c:idx val="4"/>
          <c:order val="4"/>
          <c:tx>
            <c:strRef>
              <c:f>Sheet1!$E$6</c:f>
              <c:strCache>
                <c:ptCount val="1"/>
                <c:pt idx="0">
                  <c:v>First Aid Incidents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Sheet1!$E$7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A7-46BE-8372-B63B33DC141C}"/>
            </c:ext>
          </c:extLst>
        </c:ser>
        <c:ser>
          <c:idx val="5"/>
          <c:order val="5"/>
          <c:tx>
            <c:strRef>
              <c:f>Sheet1!$F$6</c:f>
              <c:strCache>
                <c:ptCount val="1"/>
                <c:pt idx="0">
                  <c:v>Environmental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Sheet1!$F$7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A7-46BE-8372-B63B33DC1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446208"/>
        <c:axId val="534443584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Sheet1!$G$6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Sheet1!$G$7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25A7-46BE-8372-B63B33DC141C}"/>
                  </c:ext>
                </c:extLst>
              </c15:ser>
            </c15:filteredBarSeries>
          </c:ext>
        </c:extLst>
      </c:barChart>
      <c:catAx>
        <c:axId val="5344462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4443584"/>
        <c:crosses val="autoZero"/>
        <c:auto val="1"/>
        <c:lblAlgn val="ctr"/>
        <c:lblOffset val="100"/>
        <c:noMultiLvlLbl val="0"/>
      </c:catAx>
      <c:valAx>
        <c:axId val="5344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4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Central Coast</a:t>
            </a:r>
            <a:r>
              <a:rPr lang="en-AU" baseline="0"/>
              <a:t> incident reports by person </a:t>
            </a:r>
          </a:p>
          <a:p>
            <a:pPr>
              <a:defRPr/>
            </a:pPr>
            <a:r>
              <a:rPr lang="en-AU" baseline="0"/>
              <a:t>Oct 18 - Mar 19</a:t>
            </a:r>
            <a:endParaRPr lang="en-AU"/>
          </a:p>
        </c:rich>
      </c:tx>
      <c:layout>
        <c:manualLayout>
          <c:xMode val="edge"/>
          <c:yMode val="edge"/>
          <c:x val="0.1635000000000000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UON 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Sheet1!$A$2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A-4506-BB7F-5563287871B6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UON Staff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3A-4506-BB7F-5563287871B6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Visitors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3A-4506-BB7F-5563287871B6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TAFE Students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3A-4506-BB7F-5563287871B6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TAFE Visitors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3A-4506-BB7F-5563287871B6}"/>
            </c:ext>
          </c:extLst>
        </c:ser>
        <c:ser>
          <c:idx val="5"/>
          <c:order val="5"/>
          <c:tx>
            <c:strRef>
              <c:f>Sheet1!$F$1</c:f>
              <c:strCache>
                <c:ptCount val="1"/>
                <c:pt idx="0">
                  <c:v>CCCC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3A-4506-BB7F-5563287871B6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Contractors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3A-4506-BB7F-556328787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553032"/>
        <c:axId val="421557952"/>
      </c:barChart>
      <c:catAx>
        <c:axId val="42155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557952"/>
        <c:crosses val="autoZero"/>
        <c:auto val="1"/>
        <c:lblAlgn val="ctr"/>
        <c:lblOffset val="100"/>
        <c:noMultiLvlLbl val="0"/>
      </c:catAx>
      <c:valAx>
        <c:axId val="42155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55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2018 Incident reports for Central Coast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Hazards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Sheet1!$A$7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5-4A92-B005-007E1921B17E}"/>
            </c:ext>
          </c:extLst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Near Misses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Sheet1!$B$7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55-4A92-B005-007E1921B17E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Medical Treatment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Sheet1!$C$7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55-4A92-B005-007E1921B17E}"/>
            </c:ext>
          </c:extLst>
        </c:ser>
        <c:ser>
          <c:idx val="3"/>
          <c:order val="3"/>
          <c:tx>
            <c:strRef>
              <c:f>Sheet1!$D$6</c:f>
              <c:strCache>
                <c:ptCount val="1"/>
                <c:pt idx="0">
                  <c:v>Lost Time Injuries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55-4A92-B005-007E1921B17E}"/>
            </c:ext>
          </c:extLst>
        </c:ser>
        <c:ser>
          <c:idx val="4"/>
          <c:order val="4"/>
          <c:tx>
            <c:strRef>
              <c:f>Sheet1!$E$6</c:f>
              <c:strCache>
                <c:ptCount val="1"/>
                <c:pt idx="0">
                  <c:v>First Aid Incidents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Sheet1!$E$7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55-4A92-B005-007E1921B17E}"/>
            </c:ext>
          </c:extLst>
        </c:ser>
        <c:ser>
          <c:idx val="5"/>
          <c:order val="5"/>
          <c:tx>
            <c:strRef>
              <c:f>Sheet1!$F$6</c:f>
              <c:strCache>
                <c:ptCount val="1"/>
                <c:pt idx="0">
                  <c:v>Environmental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Sheet1!$F$7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55-4A92-B005-007E1921B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735928"/>
        <c:axId val="421734288"/>
      </c:barChart>
      <c:catAx>
        <c:axId val="421735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734288"/>
        <c:crosses val="autoZero"/>
        <c:auto val="1"/>
        <c:lblAlgn val="ctr"/>
        <c:lblOffset val="100"/>
        <c:noMultiLvlLbl val="0"/>
      </c:catAx>
      <c:valAx>
        <c:axId val="42173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735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F433-5687-4A21-A893-C7AC3465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Stowe</dc:creator>
  <cp:keywords/>
  <dc:description/>
  <cp:lastModifiedBy>Sharon Stow</cp:lastModifiedBy>
  <cp:revision>2</cp:revision>
  <cp:lastPrinted>2018-11-19T02:43:00Z</cp:lastPrinted>
  <dcterms:created xsi:type="dcterms:W3CDTF">2019-05-31T05:03:00Z</dcterms:created>
  <dcterms:modified xsi:type="dcterms:W3CDTF">2019-05-31T05:03:00Z</dcterms:modified>
</cp:coreProperties>
</file>