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C5" w:rsidRDefault="00B34EC5" w:rsidP="0060462D">
      <w:pPr>
        <w:spacing w:before="225" w:after="120" w:line="264" w:lineRule="atLeast"/>
        <w:outlineLvl w:val="1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</w:pPr>
    </w:p>
    <w:p w:rsidR="00B34EC5" w:rsidRDefault="00B34EC5" w:rsidP="0060462D">
      <w:pPr>
        <w:spacing w:before="225" w:after="120" w:line="264" w:lineRule="atLeast"/>
        <w:outlineLvl w:val="1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</w:pPr>
    </w:p>
    <w:p w:rsidR="00B636AB" w:rsidRPr="0060462D" w:rsidRDefault="00B636AB" w:rsidP="0060462D">
      <w:pPr>
        <w:spacing w:before="225" w:after="120" w:line="264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en-AU"/>
        </w:rPr>
      </w:pPr>
      <w:r w:rsidRPr="0060462D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  <w:t>Immigration Procedures</w:t>
      </w:r>
      <w:r w:rsidR="0060462D" w:rsidRPr="0060462D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  <w:t xml:space="preserve"> for Overseas </w:t>
      </w:r>
      <w:r w:rsidRPr="0060462D">
        <w:rPr>
          <w:rFonts w:ascii="Helvetica" w:eastAsia="Times New Roman" w:hAnsi="Helvetica" w:cs="Helvetica"/>
          <w:b/>
          <w:bCs/>
          <w:sz w:val="28"/>
          <w:szCs w:val="28"/>
          <w:lang w:eastAsia="en-AU"/>
        </w:rPr>
        <w:t>Visiting Academics</w:t>
      </w:r>
      <w:r w:rsidR="00594AB2">
        <w:rPr>
          <w:rFonts w:ascii="Helvetica" w:eastAsia="Times New Roman" w:hAnsi="Helvetica" w:cs="Helvetica"/>
          <w:b/>
          <w:bCs/>
          <w:sz w:val="28"/>
          <w:szCs w:val="28"/>
          <w:lang w:eastAsia="en-AU"/>
        </w:rPr>
        <w:t xml:space="preserve"> and Research Student (RHD)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Overview</w:t>
      </w:r>
    </w:p>
    <w:p w:rsidR="00594AB2" w:rsidRDefault="00594AB2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</w:p>
    <w:p w:rsidR="00594AB2" w:rsidRDefault="00594AB2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All visitors to the University 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en-AU"/>
        </w:rPr>
        <w:t>of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 Newcastle (UON) must be approved by the appropriate UON delegate. </w:t>
      </w:r>
    </w:p>
    <w:p w:rsidR="00B636AB" w:rsidRP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Department of Immigration and </w:t>
      </w:r>
      <w:r w:rsidR="001B42CD">
        <w:rPr>
          <w:rFonts w:ascii="Helvetica" w:eastAsia="Times New Roman" w:hAnsi="Helvetica" w:cs="Helvetica"/>
          <w:sz w:val="18"/>
          <w:szCs w:val="18"/>
          <w:lang w:eastAsia="en-AU"/>
        </w:rPr>
        <w:t>Border Protection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(</w:t>
      </w:r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>DIBP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>)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requires Australian Universities to sponsor overseas academics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who wish to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visits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their institutions. </w:t>
      </w:r>
      <w:r w:rsidR="00E21663">
        <w:rPr>
          <w:rFonts w:ascii="Helvetica" w:eastAsia="Times New Roman" w:hAnsi="Helvetica" w:cs="Helvetica"/>
          <w:sz w:val="18"/>
          <w:szCs w:val="18"/>
          <w:lang w:eastAsia="en-AU"/>
        </w:rPr>
        <w:t>All visitors to the University must hold a valid visa for the purpose of their visit</w:t>
      </w:r>
      <w:r w:rsidR="0005611A">
        <w:rPr>
          <w:rFonts w:ascii="Helvetica" w:eastAsia="Times New Roman" w:hAnsi="Helvetica" w:cs="Helvetica"/>
          <w:sz w:val="18"/>
          <w:szCs w:val="18"/>
          <w:lang w:eastAsia="en-AU"/>
        </w:rPr>
        <w:t>. A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visiting academic </w:t>
      </w:r>
      <w:r w:rsidR="00594AB2">
        <w:rPr>
          <w:rFonts w:ascii="Helvetica" w:eastAsia="Times New Roman" w:hAnsi="Helvetica" w:cs="Helvetica"/>
          <w:sz w:val="18"/>
          <w:szCs w:val="18"/>
          <w:lang w:eastAsia="en-AU"/>
        </w:rPr>
        <w:t xml:space="preserve">and </w:t>
      </w:r>
      <w:r w:rsidR="0005611A">
        <w:rPr>
          <w:rFonts w:ascii="Helvetica" w:eastAsia="Times New Roman" w:hAnsi="Helvetica" w:cs="Helvetica"/>
          <w:sz w:val="18"/>
          <w:szCs w:val="18"/>
          <w:lang w:eastAsia="en-AU"/>
        </w:rPr>
        <w:t xml:space="preserve">from an overseas institution </w:t>
      </w:r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>may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="00B34EC5">
        <w:rPr>
          <w:rFonts w:ascii="Helvetica" w:eastAsia="Times New Roman" w:hAnsi="Helvetica" w:cs="Helvetica"/>
          <w:sz w:val="18"/>
          <w:szCs w:val="18"/>
          <w:lang w:eastAsia="en-AU"/>
        </w:rPr>
        <w:t xml:space="preserve">need to be sponsored and 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apply for a </w:t>
      </w:r>
      <w:hyperlink r:id="rId7" w:history="1">
        <w:r w:rsidR="00594AB2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Temporary Activity 408 visa - R</w:t>
        </w:r>
        <w:r w:rsidR="00572541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e</w:t>
        </w:r>
        <w:r w:rsidR="00594AB2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search</w:t>
        </w:r>
      </w:hyperlink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.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The University of Newcastle is an accredited sponsor for this visa class. This Visa </w:t>
      </w:r>
      <w:r w:rsidR="00553FFF">
        <w:rPr>
          <w:rFonts w:ascii="Helvetica" w:eastAsia="Times New Roman" w:hAnsi="Helvetica" w:cs="Helvetica"/>
          <w:sz w:val="18"/>
          <w:szCs w:val="18"/>
          <w:lang w:eastAsia="en-AU"/>
        </w:rPr>
        <w:t xml:space="preserve">can be granted for a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maximum of 12 months.</w:t>
      </w:r>
    </w:p>
    <w:p w:rsidR="00594AB2" w:rsidRDefault="001C315E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Depending on the </w:t>
      </w:r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 xml:space="preserve">period and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purpose of the visit </w:t>
      </w:r>
      <w:r w:rsidR="001F58D5">
        <w:rPr>
          <w:rFonts w:ascii="Helvetica" w:eastAsia="Times New Roman" w:hAnsi="Helvetica" w:cs="Helvetica"/>
          <w:sz w:val="18"/>
          <w:szCs w:val="18"/>
          <w:lang w:eastAsia="en-AU"/>
        </w:rPr>
        <w:t xml:space="preserve">some </w:t>
      </w:r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 xml:space="preserve">visitors </w:t>
      </w:r>
      <w:r w:rsidR="00B54ED0">
        <w:rPr>
          <w:rFonts w:ascii="Helvetica" w:eastAsia="Times New Roman" w:hAnsi="Helvetica" w:cs="Helvetica"/>
          <w:sz w:val="18"/>
          <w:szCs w:val="18"/>
          <w:lang w:eastAsia="en-AU"/>
        </w:rPr>
        <w:t>may be eligible to</w:t>
      </w:r>
      <w:r w:rsidR="00B636AB"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apply for a </w:t>
      </w:r>
      <w:hyperlink r:id="rId8" w:history="1">
        <w:r w:rsidR="006B571D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Business Visitor Visa</w:t>
        </w:r>
      </w:hyperlink>
      <w:r w:rsidR="006B571D">
        <w:rPr>
          <w:rFonts w:ascii="Helvetica" w:eastAsia="Times New Roman" w:hAnsi="Helvetica" w:cs="Helvetica"/>
          <w:sz w:val="18"/>
          <w:szCs w:val="18"/>
          <w:lang w:eastAsia="en-AU"/>
        </w:rPr>
        <w:t xml:space="preserve"> (subclass 600, ETA 601</w:t>
      </w:r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 xml:space="preserve"> or 561 </w:t>
      </w:r>
      <w:proofErr w:type="spellStart"/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>eVisitor</w:t>
      </w:r>
      <w:proofErr w:type="spellEnd"/>
      <w:r w:rsidR="006B571D">
        <w:rPr>
          <w:rFonts w:ascii="Helvetica" w:eastAsia="Times New Roman" w:hAnsi="Helvetica" w:cs="Helvetica"/>
          <w:sz w:val="18"/>
          <w:szCs w:val="18"/>
          <w:lang w:eastAsia="en-AU"/>
        </w:rPr>
        <w:t>)</w:t>
      </w:r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 xml:space="preserve"> or a </w:t>
      </w:r>
      <w:hyperlink r:id="rId9" w:history="1">
        <w:r w:rsidR="008B4AE0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 xml:space="preserve">Temporary Work (short Stay </w:t>
        </w:r>
        <w:r w:rsidR="009929D8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Specialist</w:t>
        </w:r>
        <w:r w:rsidR="008B4AE0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) 400 visa</w:t>
        </w:r>
      </w:hyperlink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</w:p>
    <w:p w:rsidR="00B34EC5" w:rsidRDefault="007C3B41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Business visitors </w:t>
      </w:r>
      <w:r w:rsidR="00550143">
        <w:rPr>
          <w:rFonts w:ascii="Helvetica" w:eastAsia="Times New Roman" w:hAnsi="Helvetica" w:cs="Helvetica"/>
          <w:sz w:val="18"/>
          <w:szCs w:val="18"/>
          <w:lang w:eastAsia="en-AU"/>
        </w:rPr>
        <w:t>cannot undertake work</w:t>
      </w:r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>,</w:t>
      </w:r>
      <w:r w:rsidR="00550143">
        <w:rPr>
          <w:rFonts w:ascii="Helvetica" w:eastAsia="Times New Roman" w:hAnsi="Helvetica" w:cs="Helvetica"/>
          <w:sz w:val="18"/>
          <w:szCs w:val="18"/>
          <w:lang w:eastAsia="en-AU"/>
        </w:rPr>
        <w:t xml:space="preserve"> paid or unpaid or supply service to the University.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>The purpose of</w:t>
      </w:r>
      <w:r w:rsidR="00B34EC5">
        <w:rPr>
          <w:rFonts w:ascii="Helvetica" w:eastAsia="Times New Roman" w:hAnsi="Helvetica" w:cs="Helvetica"/>
          <w:sz w:val="18"/>
          <w:szCs w:val="18"/>
          <w:lang w:eastAsia="en-AU"/>
        </w:rPr>
        <w:t xml:space="preserve"> a business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>visit is limited to making a general employment or business inquiry such as establishing contacts with a business, participating in a conference, trade fare, seminar or training</w:t>
      </w:r>
      <w:r w:rsidR="00B34EC5">
        <w:rPr>
          <w:rFonts w:ascii="Helvetica" w:eastAsia="Times New Roman" w:hAnsi="Helvetica" w:cs="Helvetica"/>
          <w:sz w:val="18"/>
          <w:szCs w:val="18"/>
          <w:lang w:eastAsia="en-AU"/>
        </w:rPr>
        <w:t xml:space="preserve"> (providing no fee is paid and no work is otherwise performed). </w:t>
      </w:r>
    </w:p>
    <w:p w:rsidR="00B636AB" w:rsidRPr="00B636AB" w:rsidRDefault="00344E9D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Each case must be assessed </w:t>
      </w:r>
      <w:r w:rsidR="00E21663">
        <w:rPr>
          <w:rFonts w:ascii="Helvetica" w:eastAsia="Times New Roman" w:hAnsi="Helvetica" w:cs="Helvetica"/>
          <w:sz w:val="18"/>
          <w:szCs w:val="18"/>
          <w:lang w:eastAsia="en-AU"/>
        </w:rPr>
        <w:t>for eligibility, which is dependent on the activities to be undertaken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 and may require an assessment by </w:t>
      </w:r>
      <w:r w:rsidR="005E04CF">
        <w:rPr>
          <w:rFonts w:ascii="Helvetica" w:eastAsia="Times New Roman" w:hAnsi="Helvetica" w:cs="Helvetica"/>
          <w:sz w:val="18"/>
          <w:szCs w:val="18"/>
          <w:lang w:eastAsia="en-AU"/>
        </w:rPr>
        <w:t>our Immigration Lawyers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>. Cost associate with this assessment will need to be met by the inviting area.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Eligibility</w:t>
      </w:r>
      <w:r w:rsidR="00B24DAD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 xml:space="preserve"> for a T</w:t>
      </w:r>
      <w:r w:rsidR="00594AB2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emporary Activity 408</w:t>
      </w:r>
      <w:r w:rsidR="008B4AE0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 xml:space="preserve"> </w:t>
      </w:r>
      <w:r w:rsidR="00B24DAD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Visa – Research Stream</w:t>
      </w:r>
    </w:p>
    <w:p w:rsid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This visa is for professional academics from overseas who, because of a significant record of achievement in their field, and </w:t>
      </w:r>
      <w:r w:rsidR="00594AB2">
        <w:rPr>
          <w:rFonts w:ascii="Helvetica" w:eastAsia="Times New Roman" w:hAnsi="Helvetica" w:cs="Helvetica"/>
          <w:sz w:val="18"/>
          <w:szCs w:val="18"/>
          <w:lang w:eastAsia="en-AU"/>
        </w:rPr>
        <w:t xml:space="preserve">invited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by an Australian tertiary or research institution to come to Australia to observe or participate in an Australian research project</w:t>
      </w:r>
      <w:r w:rsidR="001C315E">
        <w:rPr>
          <w:rFonts w:ascii="Helvetica" w:eastAsia="Times New Roman" w:hAnsi="Helvetica" w:cs="Helvetica"/>
          <w:sz w:val="18"/>
          <w:szCs w:val="18"/>
          <w:lang w:eastAsia="en-AU"/>
        </w:rPr>
        <w:t xml:space="preserve"> for a period of up to 12 months.</w:t>
      </w:r>
    </w:p>
    <w:p w:rsidR="001C315E" w:rsidRPr="00853967" w:rsidRDefault="001C315E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853967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visiting academic must meet the following </w:t>
      </w:r>
      <w:r w:rsidR="00594AB2">
        <w:rPr>
          <w:rFonts w:ascii="Helvetica" w:eastAsia="Times New Roman" w:hAnsi="Helvetica" w:cs="Helvetica"/>
          <w:sz w:val="18"/>
          <w:szCs w:val="18"/>
          <w:lang w:eastAsia="en-AU"/>
        </w:rPr>
        <w:t xml:space="preserve">visa </w:t>
      </w:r>
      <w:r w:rsidRPr="00853967">
        <w:rPr>
          <w:rFonts w:ascii="Helvetica" w:eastAsia="Times New Roman" w:hAnsi="Helvetica" w:cs="Helvetica"/>
          <w:sz w:val="18"/>
          <w:szCs w:val="18"/>
          <w:lang w:eastAsia="en-AU"/>
        </w:rPr>
        <w:t>requirements: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be employed or have formerly been employed as an academic at a tertiary or research institution outside Australia and hold or have held a senior academic title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have qualifications and experience required for the position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have a significant record of achievement in your field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must not receive remuneration other than a contribution towards living and travel expenses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lastRenderedPageBreak/>
        <w:t xml:space="preserve">have a genuine intention to stay temporarily in Australia 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 xml:space="preserve">have adequate financial support for you and any accompanying family members while in Australia 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 xml:space="preserve">have adequate arrangements for health insurance for you and any accompanying family members for the duration of your intended stay in Australia </w:t>
      </w:r>
    </w:p>
    <w:p w:rsidR="00B34EC5" w:rsidRPr="00B34EC5" w:rsidRDefault="001C315E" w:rsidP="00B34EC5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Helvetica"/>
          <w:sz w:val="18"/>
          <w:szCs w:val="18"/>
          <w:lang w:eastAsia="en-AU"/>
        </w:rPr>
      </w:pPr>
      <w:proofErr w:type="gramStart"/>
      <w:r w:rsidRPr="00B34EC5">
        <w:rPr>
          <w:rFonts w:ascii="Helvetica" w:eastAsia="Times New Roman" w:hAnsi="Helvetica" w:cs="Times New Roman"/>
          <w:sz w:val="18"/>
          <w:szCs w:val="18"/>
          <w:lang w:eastAsia="en-AU"/>
        </w:rPr>
        <w:t>meet</w:t>
      </w:r>
      <w:proofErr w:type="gramEnd"/>
      <w:r w:rsidRPr="00B34EC5">
        <w:rPr>
          <w:rFonts w:ascii="Helvetica" w:eastAsia="Times New Roman" w:hAnsi="Helvetica" w:cs="Times New Roman"/>
          <w:sz w:val="18"/>
          <w:szCs w:val="18"/>
          <w:lang w:eastAsia="en-AU"/>
        </w:rPr>
        <w:t xml:space="preserve"> health and character requirements.</w:t>
      </w:r>
    </w:p>
    <w:p w:rsidR="00B636AB" w:rsidRPr="00B636AB" w:rsidRDefault="00CA6F59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This visa is not </w:t>
      </w:r>
      <w:r w:rsidR="00B636AB"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appropriate for academics who will be involved in teaching/lecturing in Australia, or for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undergraduate </w:t>
      </w:r>
      <w:r w:rsidR="00B636AB"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students who want to undertake research in Australia that is credited towards an award or qualification in their home country. 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Nomination Process</w:t>
      </w:r>
    </w:p>
    <w:p w:rsidR="00CA6F59" w:rsidRDefault="00B636AB" w:rsidP="008F3EE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sponsoring academic is required to complete the </w:t>
      </w:r>
      <w:hyperlink r:id="rId10" w:history="1">
        <w:r w:rsidR="00594AB2" w:rsidRPr="0096324B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 xml:space="preserve">Request </w:t>
        </w:r>
        <w:r w:rsidR="009929D8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for International Visiting Academic, Researcher or Student</w:t>
        </w:r>
      </w:hyperlink>
      <w:r w:rsidR="00CD4575"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>and attach</w:t>
      </w:r>
      <w:r w:rsidR="00CA6F59"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 all listed documents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</w:p>
    <w:p w:rsidR="00B636AB" w:rsidRPr="00CA6F59" w:rsidRDefault="00CA6F59" w:rsidP="008F3EE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request must be </w:t>
      </w:r>
      <w:r w:rsidR="00D37C6A">
        <w:rPr>
          <w:rFonts w:ascii="Helvetica" w:eastAsia="Times New Roman" w:hAnsi="Helvetica" w:cs="Helvetica"/>
          <w:sz w:val="18"/>
          <w:szCs w:val="18"/>
          <w:lang w:eastAsia="en-AU"/>
        </w:rPr>
        <w:t xml:space="preserve">endorsed by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Head of School and </w:t>
      </w:r>
      <w:r w:rsidR="00D37C6A">
        <w:rPr>
          <w:rFonts w:ascii="Helvetica" w:eastAsia="Times New Roman" w:hAnsi="Helvetica" w:cs="Helvetica"/>
          <w:sz w:val="18"/>
          <w:szCs w:val="18"/>
          <w:lang w:eastAsia="en-AU"/>
        </w:rPr>
        <w:t xml:space="preserve">approved by 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>the Pro-Vice Chancellor</w:t>
      </w:r>
    </w:p>
    <w:p w:rsidR="001B42CD" w:rsidRDefault="00B636AB" w:rsidP="00594AB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request and associated attachments must be sent to the Immigration Co-ordination in Human Resource Services </w:t>
      </w:r>
      <w:hyperlink r:id="rId11" w:history="1">
        <w:r w:rsidR="00D37C6A" w:rsidRPr="00FD25A9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immigration@newcastle.edu.au</w:t>
        </w:r>
      </w:hyperlink>
      <w:r w:rsidR="00D37C6A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>for processing and lodg</w:t>
      </w:r>
      <w:r w:rsidR="00572541" w:rsidRPr="001B42CD">
        <w:rPr>
          <w:rFonts w:ascii="Helvetica" w:eastAsia="Times New Roman" w:hAnsi="Helvetica" w:cs="Helvetica"/>
          <w:sz w:val="18"/>
          <w:szCs w:val="18"/>
          <w:lang w:eastAsia="en-AU"/>
        </w:rPr>
        <w:t>e</w:t>
      </w: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ment with the Department of Immigration and </w:t>
      </w:r>
      <w:r w:rsidR="00BC31C8" w:rsidRPr="001B42CD">
        <w:rPr>
          <w:rFonts w:ascii="Helvetica" w:eastAsia="Times New Roman" w:hAnsi="Helvetica" w:cs="Helvetica"/>
          <w:sz w:val="18"/>
          <w:szCs w:val="18"/>
          <w:lang w:eastAsia="en-AU"/>
        </w:rPr>
        <w:t>Border Protection</w:t>
      </w: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>.</w:t>
      </w:r>
      <w:r w:rsidR="00CD4575"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 Please allow a minimum of 2 months for processing and approval of </w:t>
      </w:r>
      <w:r w:rsidR="00BC31C8" w:rsidRPr="001B42CD">
        <w:rPr>
          <w:rFonts w:ascii="Helvetica" w:eastAsia="Times New Roman" w:hAnsi="Helvetica" w:cs="Helvetica"/>
          <w:sz w:val="18"/>
          <w:szCs w:val="18"/>
          <w:lang w:eastAsia="en-AU"/>
        </w:rPr>
        <w:t>the v</w:t>
      </w:r>
      <w:r w:rsid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isa by </w:t>
      </w:r>
      <w:r w:rsidR="00CA6F59">
        <w:rPr>
          <w:rFonts w:ascii="Helvetica" w:eastAsia="Times New Roman" w:hAnsi="Helvetica" w:cs="Helvetica"/>
          <w:sz w:val="18"/>
          <w:szCs w:val="18"/>
          <w:lang w:eastAsia="en-AU"/>
        </w:rPr>
        <w:t>DIBP</w:t>
      </w:r>
      <w:r w:rsidR="001B42CD">
        <w:rPr>
          <w:rFonts w:ascii="Helvetica" w:eastAsia="Times New Roman" w:hAnsi="Helvetica" w:cs="Helvetica"/>
          <w:sz w:val="18"/>
          <w:szCs w:val="18"/>
          <w:lang w:eastAsia="en-AU"/>
        </w:rPr>
        <w:t>.</w:t>
      </w:r>
    </w:p>
    <w:p w:rsidR="00B636AB" w:rsidRPr="001B42CD" w:rsidRDefault="00B636AB" w:rsidP="00594AB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nominating academic and responsible Faculty must comply with the </w:t>
      </w:r>
      <w:hyperlink r:id="rId12" w:history="1">
        <w:r w:rsidRPr="001B42CD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>Honorary Appointments Policy and associated guidelines</w:t>
        </w:r>
      </w:hyperlink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Visa Process</w:t>
      </w:r>
    </w:p>
    <w:p w:rsid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Once the 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>Visiting Academic Request Form is received,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the Immigration Co-ordinator 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in Human Resource Services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will liaise with the visitor in regards to the lodg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>e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ment of the visa application.</w:t>
      </w:r>
    </w:p>
    <w:p w:rsidR="00CD4575" w:rsidRDefault="008B4AE0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>DIBP</w:t>
      </w:r>
      <w:r w:rsidR="00BC31C8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="00CD4575">
        <w:rPr>
          <w:rFonts w:ascii="Helvetica" w:eastAsia="Times New Roman" w:hAnsi="Helvetica" w:cs="Helvetica"/>
          <w:sz w:val="18"/>
          <w:szCs w:val="18"/>
          <w:lang w:eastAsia="en-AU"/>
        </w:rPr>
        <w:t>will notify the visa applicant when the visa is approved including any conditions associated with the Visa grant.</w:t>
      </w:r>
    </w:p>
    <w:p w:rsidR="00C84BA1" w:rsidRDefault="00CD4575" w:rsidP="00CD4575">
      <w:pPr>
        <w:spacing w:after="100" w:afterAutospacing="1" w:line="336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>A copy of the Visa approval must be supplied by the visitor and sighted by prior to them commencing with the University.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Costs</w:t>
      </w:r>
    </w:p>
    <w:p w:rsidR="00B636AB" w:rsidRP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</w:t>
      </w:r>
      <w:r w:rsidR="00BC31C8">
        <w:rPr>
          <w:rFonts w:ascii="Helvetica" w:eastAsia="Times New Roman" w:hAnsi="Helvetica" w:cs="Helvetica"/>
          <w:sz w:val="18"/>
          <w:szCs w:val="18"/>
          <w:lang w:eastAsia="en-AU"/>
        </w:rPr>
        <w:t>visitor/visa applicant will be responsible for lodging their own application and paying the associated fee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hyperlink r:id="rId13" w:history="1">
        <w:proofErr w:type="gramStart"/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>Cli</w:t>
        </w:r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>c</w:t>
        </w:r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>k</w:t>
        </w:r>
        <w:proofErr w:type="gramEnd"/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 xml:space="preserve"> here</w:t>
        </w:r>
      </w:hyperlink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for the current charges.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Further Information</w:t>
      </w:r>
    </w:p>
    <w:p w:rsidR="00B636AB" w:rsidRP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</w:t>
      </w:r>
      <w:hyperlink r:id="rId14" w:history="1">
        <w:r w:rsidRPr="00D37C6A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 xml:space="preserve">Department of Immigration and </w:t>
        </w:r>
        <w:r w:rsidR="00BC31C8" w:rsidRPr="00D37C6A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Border Protection</w:t>
        </w:r>
      </w:hyperlink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website provides further information on the process and obligations for sponsors and visa applicants.</w:t>
      </w:r>
    </w:p>
    <w:p w:rsidR="005E60E9" w:rsidRDefault="00B636AB" w:rsidP="00D37C6A">
      <w:pPr>
        <w:spacing w:after="100" w:afterAutospacing="1" w:line="336" w:lineRule="atLeast"/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Please con</w:t>
      </w:r>
      <w:bookmarkStart w:id="0" w:name="_GoBack"/>
      <w:bookmarkEnd w:id="0"/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tact the Immigration Co-ordinator on +61 (02) 4921 6644, or email </w:t>
      </w:r>
      <w:hyperlink r:id="rId15" w:history="1"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>immigration@newcastle.edu.au</w:t>
        </w:r>
      </w:hyperlink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, </w:t>
      </w:r>
    </w:p>
    <w:sectPr w:rsidR="005E60E9" w:rsidSect="00B34EC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B2" w:rsidRDefault="00594AB2" w:rsidP="00B34EC5">
      <w:pPr>
        <w:spacing w:after="0" w:line="240" w:lineRule="auto"/>
      </w:pPr>
      <w:r>
        <w:separator/>
      </w:r>
    </w:p>
  </w:endnote>
  <w:endnote w:type="continuationSeparator" w:id="0">
    <w:p w:rsidR="00594AB2" w:rsidRDefault="00594AB2" w:rsidP="00B3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B2" w:rsidRDefault="00594AB2" w:rsidP="00B24DAD">
    <w:pPr>
      <w:pStyle w:val="Footer"/>
    </w:pPr>
    <w:r>
      <w:t xml:space="preserve">Updated </w:t>
    </w:r>
    <w:r w:rsidR="009929D8">
      <w:t>Dec</w:t>
    </w:r>
    <w:r w:rsidR="00CA6F59">
      <w:t xml:space="preserve"> 2017</w:t>
    </w:r>
  </w:p>
  <w:p w:rsidR="00594AB2" w:rsidRPr="00B24DAD" w:rsidRDefault="00594AB2" w:rsidP="00B24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B2" w:rsidRDefault="00594AB2">
    <w:pPr>
      <w:pStyle w:val="Footer"/>
    </w:pPr>
    <w:r>
      <w:t>Updated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B2" w:rsidRDefault="00594AB2" w:rsidP="00B34EC5">
      <w:pPr>
        <w:spacing w:after="0" w:line="240" w:lineRule="auto"/>
      </w:pPr>
      <w:r>
        <w:separator/>
      </w:r>
    </w:p>
  </w:footnote>
  <w:footnote w:type="continuationSeparator" w:id="0">
    <w:p w:rsidR="00594AB2" w:rsidRDefault="00594AB2" w:rsidP="00B3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B2" w:rsidRDefault="00594AB2" w:rsidP="00B34EC5">
    <w:pPr>
      <w:pStyle w:val="Header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B2" w:rsidRDefault="00594AB2">
    <w:pPr>
      <w:pStyle w:val="Header"/>
    </w:pPr>
    <w:r>
      <w:rPr>
        <w:noProof/>
        <w:lang w:eastAsia="en-AU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5248275</wp:posOffset>
          </wp:positionH>
          <wp:positionV relativeFrom="page">
            <wp:posOffset>228600</wp:posOffset>
          </wp:positionV>
          <wp:extent cx="1057275" cy="1028700"/>
          <wp:effectExtent l="19050" t="0" r="9525" b="0"/>
          <wp:wrapNone/>
          <wp:docPr id="3" name="Picture 3" descr="Picture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CED"/>
    <w:multiLevelType w:val="multilevel"/>
    <w:tmpl w:val="7328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05836"/>
    <w:multiLevelType w:val="multilevel"/>
    <w:tmpl w:val="A7A8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AB"/>
    <w:rsid w:val="0005611A"/>
    <w:rsid w:val="001342D5"/>
    <w:rsid w:val="001B42CD"/>
    <w:rsid w:val="001C315E"/>
    <w:rsid w:val="001F58D5"/>
    <w:rsid w:val="0029395D"/>
    <w:rsid w:val="003249AA"/>
    <w:rsid w:val="00344E9D"/>
    <w:rsid w:val="003C21E2"/>
    <w:rsid w:val="00547F48"/>
    <w:rsid w:val="00550143"/>
    <w:rsid w:val="00553FFF"/>
    <w:rsid w:val="00572541"/>
    <w:rsid w:val="00594AB2"/>
    <w:rsid w:val="005E04CF"/>
    <w:rsid w:val="005E60E9"/>
    <w:rsid w:val="0060462D"/>
    <w:rsid w:val="006B571D"/>
    <w:rsid w:val="007C3B41"/>
    <w:rsid w:val="00853967"/>
    <w:rsid w:val="008A2B82"/>
    <w:rsid w:val="008B4AE0"/>
    <w:rsid w:val="0096324B"/>
    <w:rsid w:val="009929D8"/>
    <w:rsid w:val="00B24DAD"/>
    <w:rsid w:val="00B34EC5"/>
    <w:rsid w:val="00B54ED0"/>
    <w:rsid w:val="00B636AB"/>
    <w:rsid w:val="00BC31C8"/>
    <w:rsid w:val="00BD28B2"/>
    <w:rsid w:val="00BF028A"/>
    <w:rsid w:val="00C84BA1"/>
    <w:rsid w:val="00CA6F59"/>
    <w:rsid w:val="00CD4575"/>
    <w:rsid w:val="00D274E3"/>
    <w:rsid w:val="00D37C6A"/>
    <w:rsid w:val="00E20EB2"/>
    <w:rsid w:val="00E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10C97CE-3F61-4D58-B8DF-3D90C78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AB"/>
    <w:rPr>
      <w:strike w:val="0"/>
      <w:dstrike w:val="0"/>
      <w:color w:val="0055A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636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3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C5"/>
  </w:style>
  <w:style w:type="paragraph" w:styleId="Footer">
    <w:name w:val="footer"/>
    <w:basedOn w:val="Normal"/>
    <w:link w:val="FooterChar"/>
    <w:uiPriority w:val="99"/>
    <w:unhideWhenUsed/>
    <w:rsid w:val="00B3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C5"/>
  </w:style>
  <w:style w:type="character" w:styleId="FollowedHyperlink">
    <w:name w:val="FollowedHyperlink"/>
    <w:basedOn w:val="DefaultParagraphFont"/>
    <w:uiPriority w:val="99"/>
    <w:semiHidden/>
    <w:unhideWhenUsed/>
    <w:rsid w:val="00BC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46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4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2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r.gov.au/Trav/Visa-1/600-" TargetMode="External"/><Relationship Id="rId13" Type="http://schemas.openxmlformats.org/officeDocument/2006/relationships/hyperlink" Target="http://www.border.gov.au/Trav/Visa/Fe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rder.gov.au/Trav/Visa-1/408-" TargetMode="External"/><Relationship Id="rId12" Type="http://schemas.openxmlformats.org/officeDocument/2006/relationships/hyperlink" Target="http://www.newcastle.edu.au/policy/000408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migration@newcastle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migration@newcastle.edu.au" TargetMode="External"/><Relationship Id="rId10" Type="http://schemas.openxmlformats.org/officeDocument/2006/relationships/hyperlink" Target="Request%20for%20International%20Visiting%20Academic,%20Researcher%20or%20Student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order.gov.au/Trav/Visa-1/400-" TargetMode="External"/><Relationship Id="rId14" Type="http://schemas.openxmlformats.org/officeDocument/2006/relationships/hyperlink" Target="https://www.border.gov.au/Trav/Visa-1/408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Margaret Harten</cp:lastModifiedBy>
  <cp:revision>5</cp:revision>
  <dcterms:created xsi:type="dcterms:W3CDTF">2017-01-24T03:36:00Z</dcterms:created>
  <dcterms:modified xsi:type="dcterms:W3CDTF">2017-12-13T01:51:00Z</dcterms:modified>
</cp:coreProperties>
</file>