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FDF" w:rsidRDefault="00E16128" w:rsidP="00562375">
      <w:pPr>
        <w:pStyle w:val="Title"/>
        <w:pBdr>
          <w:bottom w:val="none" w:sz="0" w:space="0" w:color="auto"/>
        </w:pBdr>
        <w:jc w:val="left"/>
      </w:pPr>
      <w:r>
        <w:t xml:space="preserve">Asset Management </w:t>
      </w:r>
      <w:r w:rsidR="00AD074B">
        <w:t>Advisory Group</w:t>
      </w:r>
      <w:r w:rsidR="00132FDF">
        <w:t xml:space="preserve"> –</w:t>
      </w:r>
      <w:r w:rsidR="007C0C75">
        <w:t xml:space="preserve"> </w:t>
      </w:r>
      <w:r w:rsidR="00D9030D">
        <w:t>Education</w:t>
      </w:r>
    </w:p>
    <w:p w:rsidR="002C1EE5" w:rsidRPr="00491776" w:rsidRDefault="00562375" w:rsidP="00562375">
      <w:pPr>
        <w:pStyle w:val="Header"/>
        <w:tabs>
          <w:tab w:val="clear" w:pos="4513"/>
          <w:tab w:val="clear" w:pos="9026"/>
        </w:tabs>
        <w:spacing w:after="200" w:line="276" w:lineRule="auto"/>
        <w:rPr>
          <w:b/>
        </w:rPr>
      </w:pPr>
      <w:r w:rsidRPr="00491776">
        <w:rPr>
          <w:b/>
        </w:rPr>
        <w:t>TERMS OF REFERENCE</w:t>
      </w:r>
    </w:p>
    <w:p w:rsidR="00540BE6" w:rsidRPr="00B67BF4" w:rsidRDefault="00540BE6" w:rsidP="00540BE6">
      <w:pPr>
        <w:pStyle w:val="ListParagraph"/>
        <w:numPr>
          <w:ilvl w:val="0"/>
          <w:numId w:val="1"/>
        </w:numPr>
        <w:rPr>
          <w:b/>
          <w:sz w:val="20"/>
          <w:szCs w:val="20"/>
        </w:rPr>
      </w:pPr>
      <w:r w:rsidRPr="00B67BF4">
        <w:rPr>
          <w:b/>
          <w:sz w:val="20"/>
          <w:szCs w:val="20"/>
        </w:rPr>
        <w:t>ESTABLISHMENT</w:t>
      </w:r>
    </w:p>
    <w:p w:rsidR="00F43036" w:rsidRDefault="00F43036" w:rsidP="00F85754">
      <w:pPr>
        <w:pStyle w:val="ListParagraph"/>
        <w:numPr>
          <w:ilvl w:val="1"/>
          <w:numId w:val="1"/>
        </w:numPr>
        <w:spacing w:before="240"/>
        <w:rPr>
          <w:sz w:val="20"/>
          <w:szCs w:val="20"/>
        </w:rPr>
      </w:pPr>
      <w:r w:rsidRPr="00B67BF4">
        <w:rPr>
          <w:sz w:val="20"/>
          <w:szCs w:val="20"/>
        </w:rPr>
        <w:t xml:space="preserve">The </w:t>
      </w:r>
      <w:r w:rsidR="00093557" w:rsidRPr="00B67BF4">
        <w:rPr>
          <w:sz w:val="20"/>
          <w:szCs w:val="20"/>
        </w:rPr>
        <w:t xml:space="preserve">Asset Management </w:t>
      </w:r>
      <w:r w:rsidRPr="00B67BF4">
        <w:rPr>
          <w:sz w:val="20"/>
          <w:szCs w:val="20"/>
        </w:rPr>
        <w:t>Advisory Group</w:t>
      </w:r>
      <w:r w:rsidR="00132FDF" w:rsidRPr="00B67BF4">
        <w:rPr>
          <w:sz w:val="20"/>
          <w:szCs w:val="20"/>
        </w:rPr>
        <w:t xml:space="preserve"> </w:t>
      </w:r>
      <w:r w:rsidR="00772A38">
        <w:rPr>
          <w:sz w:val="20"/>
          <w:szCs w:val="20"/>
        </w:rPr>
        <w:t>–</w:t>
      </w:r>
      <w:r w:rsidR="00132FDF" w:rsidRPr="00B67BF4">
        <w:rPr>
          <w:sz w:val="20"/>
          <w:szCs w:val="20"/>
        </w:rPr>
        <w:t xml:space="preserve"> </w:t>
      </w:r>
      <w:r w:rsidR="00D9030D">
        <w:rPr>
          <w:sz w:val="20"/>
          <w:szCs w:val="20"/>
        </w:rPr>
        <w:t>Education</w:t>
      </w:r>
      <w:r w:rsidR="00672929" w:rsidRPr="00B67BF4">
        <w:rPr>
          <w:sz w:val="20"/>
          <w:szCs w:val="20"/>
        </w:rPr>
        <w:t xml:space="preserve"> </w:t>
      </w:r>
      <w:r w:rsidR="00132FDF" w:rsidRPr="00B67BF4">
        <w:rPr>
          <w:sz w:val="20"/>
          <w:szCs w:val="20"/>
        </w:rPr>
        <w:t>(AM</w:t>
      </w:r>
      <w:r w:rsidR="00EF7446" w:rsidRPr="00B67BF4">
        <w:rPr>
          <w:sz w:val="20"/>
          <w:szCs w:val="20"/>
        </w:rPr>
        <w:t>AG</w:t>
      </w:r>
      <w:r w:rsidR="00132FDF" w:rsidRPr="00B67BF4">
        <w:rPr>
          <w:sz w:val="20"/>
          <w:szCs w:val="20"/>
        </w:rPr>
        <w:t xml:space="preserve"> </w:t>
      </w:r>
      <w:r w:rsidR="007C0C75">
        <w:rPr>
          <w:sz w:val="20"/>
          <w:szCs w:val="20"/>
        </w:rPr>
        <w:t>–</w:t>
      </w:r>
      <w:r w:rsidR="00132FDF" w:rsidRPr="00B67BF4">
        <w:rPr>
          <w:sz w:val="20"/>
          <w:szCs w:val="20"/>
        </w:rPr>
        <w:t xml:space="preserve"> </w:t>
      </w:r>
      <w:r w:rsidR="00D9030D">
        <w:rPr>
          <w:sz w:val="20"/>
          <w:szCs w:val="20"/>
        </w:rPr>
        <w:t>Education</w:t>
      </w:r>
      <w:r w:rsidR="00EF7446" w:rsidRPr="00B67BF4">
        <w:rPr>
          <w:sz w:val="20"/>
          <w:szCs w:val="20"/>
        </w:rPr>
        <w:t xml:space="preserve">) </w:t>
      </w:r>
      <w:r w:rsidR="00672929" w:rsidRPr="00B67BF4">
        <w:rPr>
          <w:sz w:val="20"/>
          <w:szCs w:val="20"/>
        </w:rPr>
        <w:t>w</w:t>
      </w:r>
      <w:r w:rsidR="00EF7446" w:rsidRPr="00B67BF4">
        <w:rPr>
          <w:sz w:val="20"/>
          <w:szCs w:val="20"/>
        </w:rPr>
        <w:t xml:space="preserve">as </w:t>
      </w:r>
      <w:r w:rsidRPr="00B67BF4">
        <w:rPr>
          <w:sz w:val="20"/>
          <w:szCs w:val="20"/>
        </w:rPr>
        <w:t xml:space="preserve">established in 2013 by </w:t>
      </w:r>
      <w:r w:rsidR="00093557" w:rsidRPr="00B67BF4">
        <w:rPr>
          <w:sz w:val="20"/>
          <w:szCs w:val="20"/>
        </w:rPr>
        <w:t>the Strategic Asset Management</w:t>
      </w:r>
      <w:r w:rsidRPr="00B67BF4">
        <w:rPr>
          <w:sz w:val="20"/>
          <w:szCs w:val="20"/>
        </w:rPr>
        <w:t xml:space="preserve"> Committee (S</w:t>
      </w:r>
      <w:r w:rsidR="00093557" w:rsidRPr="00B67BF4">
        <w:rPr>
          <w:sz w:val="20"/>
          <w:szCs w:val="20"/>
        </w:rPr>
        <w:t>AM</w:t>
      </w:r>
      <w:r w:rsidRPr="00B67BF4">
        <w:rPr>
          <w:sz w:val="20"/>
          <w:szCs w:val="20"/>
        </w:rPr>
        <w:t>C) to facilitate the alignment of</w:t>
      </w:r>
      <w:r w:rsidR="00093557" w:rsidRPr="00B67BF4">
        <w:rPr>
          <w:sz w:val="20"/>
          <w:szCs w:val="20"/>
        </w:rPr>
        <w:t xml:space="preserve"> asset</w:t>
      </w:r>
      <w:r w:rsidRPr="00B67BF4">
        <w:rPr>
          <w:sz w:val="20"/>
          <w:szCs w:val="20"/>
        </w:rPr>
        <w:t xml:space="preserve"> strategies </w:t>
      </w:r>
      <w:r w:rsidR="006311FE">
        <w:rPr>
          <w:sz w:val="20"/>
          <w:szCs w:val="20"/>
        </w:rPr>
        <w:t xml:space="preserve">and solutions </w:t>
      </w:r>
      <w:r w:rsidRPr="00B67BF4">
        <w:rPr>
          <w:sz w:val="20"/>
          <w:szCs w:val="20"/>
        </w:rPr>
        <w:t xml:space="preserve">with the </w:t>
      </w:r>
      <w:r w:rsidR="00093557" w:rsidRPr="00B67BF4">
        <w:rPr>
          <w:sz w:val="20"/>
          <w:szCs w:val="20"/>
        </w:rPr>
        <w:t>University’s Strategic Plan</w:t>
      </w:r>
      <w:r w:rsidRPr="00B67BF4">
        <w:rPr>
          <w:sz w:val="20"/>
          <w:szCs w:val="20"/>
        </w:rPr>
        <w:t>.</w:t>
      </w:r>
      <w:r w:rsidR="00672929" w:rsidRPr="00B67BF4">
        <w:rPr>
          <w:sz w:val="20"/>
          <w:szCs w:val="20"/>
        </w:rPr>
        <w:t xml:space="preserve"> </w:t>
      </w:r>
    </w:p>
    <w:p w:rsidR="00FC6148" w:rsidRPr="00C669E8" w:rsidRDefault="00FC6148" w:rsidP="00C669E8">
      <w:pPr>
        <w:pStyle w:val="ListParagraph"/>
        <w:numPr>
          <w:ilvl w:val="0"/>
          <w:numId w:val="1"/>
        </w:numPr>
        <w:rPr>
          <w:b/>
          <w:sz w:val="20"/>
          <w:szCs w:val="20"/>
        </w:rPr>
      </w:pPr>
      <w:r w:rsidRPr="00C669E8">
        <w:rPr>
          <w:b/>
          <w:sz w:val="20"/>
          <w:szCs w:val="20"/>
        </w:rPr>
        <w:t>SCOPE</w:t>
      </w:r>
    </w:p>
    <w:p w:rsidR="00AF2CA4" w:rsidRDefault="00AF2CA4" w:rsidP="00AF2CA4">
      <w:pPr>
        <w:pStyle w:val="ListParagraph"/>
        <w:spacing w:before="240"/>
        <w:ind w:left="1440"/>
        <w:rPr>
          <w:sz w:val="20"/>
          <w:szCs w:val="20"/>
        </w:rPr>
      </w:pPr>
      <w:r w:rsidRPr="00DD510B">
        <w:rPr>
          <w:sz w:val="20"/>
          <w:szCs w:val="20"/>
        </w:rPr>
        <w:t xml:space="preserve">The </w:t>
      </w:r>
      <w:r w:rsidR="0099402B">
        <w:rPr>
          <w:sz w:val="20"/>
          <w:szCs w:val="20"/>
        </w:rPr>
        <w:t xml:space="preserve">Education </w:t>
      </w:r>
      <w:r w:rsidRPr="00DD510B">
        <w:rPr>
          <w:sz w:val="20"/>
          <w:szCs w:val="20"/>
        </w:rPr>
        <w:t>Advisory Group provides advice to the SAMC in relation to</w:t>
      </w:r>
      <w:r>
        <w:rPr>
          <w:sz w:val="20"/>
          <w:szCs w:val="20"/>
        </w:rPr>
        <w:t xml:space="preserve"> infrastructure and </w:t>
      </w:r>
      <w:r w:rsidRPr="00DD510B">
        <w:rPr>
          <w:sz w:val="20"/>
          <w:szCs w:val="20"/>
        </w:rPr>
        <w:t xml:space="preserve">facilities </w:t>
      </w:r>
      <w:r>
        <w:rPr>
          <w:sz w:val="20"/>
          <w:szCs w:val="20"/>
        </w:rPr>
        <w:t>s</w:t>
      </w:r>
      <w:r w:rsidRPr="00DD510B">
        <w:rPr>
          <w:sz w:val="20"/>
          <w:szCs w:val="20"/>
        </w:rPr>
        <w:t xml:space="preserve">ervices </w:t>
      </w:r>
      <w:r w:rsidRPr="00376328">
        <w:rPr>
          <w:sz w:val="20"/>
          <w:szCs w:val="20"/>
        </w:rPr>
        <w:t xml:space="preserve">that </w:t>
      </w:r>
      <w:r>
        <w:rPr>
          <w:sz w:val="20"/>
          <w:szCs w:val="20"/>
        </w:rPr>
        <w:t>deliver</w:t>
      </w:r>
      <w:r w:rsidR="0099402B">
        <w:rPr>
          <w:sz w:val="20"/>
          <w:szCs w:val="20"/>
        </w:rPr>
        <w:t xml:space="preserve"> innovative, outstanding and dynamic learning and teaching spaces </w:t>
      </w:r>
      <w:r>
        <w:rPr>
          <w:sz w:val="20"/>
          <w:szCs w:val="20"/>
        </w:rPr>
        <w:t xml:space="preserve">for </w:t>
      </w:r>
      <w:r w:rsidRPr="00376328">
        <w:rPr>
          <w:sz w:val="20"/>
          <w:szCs w:val="20"/>
        </w:rPr>
        <w:t xml:space="preserve">students and staff. </w:t>
      </w:r>
    </w:p>
    <w:p w:rsidR="00AF2CA4" w:rsidRDefault="00AF2CA4" w:rsidP="008B039A">
      <w:pPr>
        <w:pStyle w:val="ListParagraph"/>
        <w:spacing w:before="240"/>
        <w:ind w:left="1440"/>
        <w:rPr>
          <w:sz w:val="20"/>
          <w:szCs w:val="20"/>
        </w:rPr>
      </w:pPr>
    </w:p>
    <w:p w:rsidR="00890E86" w:rsidRPr="00B67BF4" w:rsidRDefault="00540BE6" w:rsidP="00890E86">
      <w:pPr>
        <w:pStyle w:val="ListParagraph"/>
        <w:numPr>
          <w:ilvl w:val="0"/>
          <w:numId w:val="1"/>
        </w:numPr>
        <w:rPr>
          <w:b/>
          <w:sz w:val="20"/>
          <w:szCs w:val="20"/>
        </w:rPr>
      </w:pPr>
      <w:r w:rsidRPr="00B67BF4">
        <w:rPr>
          <w:b/>
          <w:sz w:val="20"/>
          <w:szCs w:val="20"/>
        </w:rPr>
        <w:t>RESPONSIBILITIES</w:t>
      </w:r>
    </w:p>
    <w:p w:rsidR="00AE6589" w:rsidRPr="00B67BF4" w:rsidRDefault="00F43036" w:rsidP="00AA7FAB">
      <w:pPr>
        <w:pStyle w:val="ListParagraph"/>
        <w:numPr>
          <w:ilvl w:val="1"/>
          <w:numId w:val="1"/>
        </w:numPr>
        <w:rPr>
          <w:sz w:val="20"/>
          <w:szCs w:val="20"/>
        </w:rPr>
      </w:pPr>
      <w:r w:rsidRPr="00B67BF4">
        <w:rPr>
          <w:sz w:val="20"/>
          <w:szCs w:val="20"/>
        </w:rPr>
        <w:t xml:space="preserve">The </w:t>
      </w:r>
      <w:r w:rsidR="00132FDF" w:rsidRPr="00B67BF4">
        <w:rPr>
          <w:sz w:val="20"/>
          <w:szCs w:val="20"/>
        </w:rPr>
        <w:t>Advisory Group</w:t>
      </w:r>
      <w:r w:rsidR="00093557" w:rsidRPr="00B67BF4">
        <w:rPr>
          <w:sz w:val="20"/>
          <w:szCs w:val="20"/>
        </w:rPr>
        <w:t xml:space="preserve"> </w:t>
      </w:r>
      <w:r w:rsidR="00AE6589" w:rsidRPr="00B67BF4">
        <w:rPr>
          <w:sz w:val="20"/>
          <w:szCs w:val="20"/>
        </w:rPr>
        <w:t>will:</w:t>
      </w:r>
    </w:p>
    <w:p w:rsidR="00AC3564" w:rsidRPr="00AC3564" w:rsidRDefault="00AC3564" w:rsidP="00AC3564">
      <w:pPr>
        <w:pStyle w:val="ListParagraph"/>
        <w:numPr>
          <w:ilvl w:val="2"/>
          <w:numId w:val="1"/>
        </w:numPr>
        <w:rPr>
          <w:sz w:val="20"/>
          <w:szCs w:val="20"/>
        </w:rPr>
      </w:pPr>
      <w:r w:rsidRPr="00AC3564">
        <w:rPr>
          <w:sz w:val="20"/>
          <w:szCs w:val="20"/>
        </w:rPr>
        <w:t xml:space="preserve">Understand and articulate the links between the Strategic and Corporate Plans and the supporting infrastructure, facilities and service requirements to develop and maintain </w:t>
      </w:r>
      <w:r>
        <w:rPr>
          <w:sz w:val="20"/>
          <w:szCs w:val="20"/>
        </w:rPr>
        <w:t xml:space="preserve">learning and teaching spaces </w:t>
      </w:r>
      <w:r w:rsidRPr="00AC3564">
        <w:rPr>
          <w:sz w:val="20"/>
          <w:szCs w:val="20"/>
        </w:rPr>
        <w:t>that meet the needs and expectations of the University community.</w:t>
      </w:r>
    </w:p>
    <w:p w:rsidR="00AE6589" w:rsidRPr="00B67BF4" w:rsidRDefault="00D73B42" w:rsidP="00AE6589">
      <w:pPr>
        <w:pStyle w:val="ListParagraph"/>
        <w:numPr>
          <w:ilvl w:val="2"/>
          <w:numId w:val="1"/>
        </w:numPr>
        <w:rPr>
          <w:sz w:val="20"/>
          <w:szCs w:val="20"/>
        </w:rPr>
      </w:pPr>
      <w:r w:rsidRPr="00B67BF4">
        <w:rPr>
          <w:sz w:val="20"/>
          <w:szCs w:val="20"/>
        </w:rPr>
        <w:t>Understand</w:t>
      </w:r>
      <w:r w:rsidR="00AE6589" w:rsidRPr="00B67BF4">
        <w:rPr>
          <w:sz w:val="20"/>
          <w:szCs w:val="20"/>
        </w:rPr>
        <w:t xml:space="preserve"> the University of Newcastle’s Strategic Asset Management </w:t>
      </w:r>
      <w:r w:rsidR="00802F65">
        <w:rPr>
          <w:sz w:val="20"/>
          <w:szCs w:val="20"/>
        </w:rPr>
        <w:t xml:space="preserve">Framework and </w:t>
      </w:r>
      <w:r w:rsidR="00AE6589" w:rsidRPr="00B67BF4">
        <w:rPr>
          <w:sz w:val="20"/>
          <w:szCs w:val="20"/>
        </w:rPr>
        <w:t xml:space="preserve">Plan, Master Plan and associated planning documents to enable the development of </w:t>
      </w:r>
      <w:r w:rsidR="00802F65">
        <w:rPr>
          <w:sz w:val="20"/>
          <w:szCs w:val="20"/>
        </w:rPr>
        <w:t>integrated</w:t>
      </w:r>
      <w:r w:rsidR="00A3368D">
        <w:rPr>
          <w:sz w:val="20"/>
          <w:szCs w:val="20"/>
        </w:rPr>
        <w:t xml:space="preserve">, multi-disciplinary </w:t>
      </w:r>
      <w:r w:rsidR="00AE6589" w:rsidRPr="00B67BF4">
        <w:rPr>
          <w:sz w:val="20"/>
          <w:szCs w:val="20"/>
        </w:rPr>
        <w:t>asset strategies and solutions.</w:t>
      </w:r>
    </w:p>
    <w:p w:rsidR="00AE6589" w:rsidRPr="00B67BF4" w:rsidRDefault="00AE6589" w:rsidP="00AE6589">
      <w:pPr>
        <w:pStyle w:val="ListParagraph"/>
        <w:numPr>
          <w:ilvl w:val="2"/>
          <w:numId w:val="1"/>
        </w:numPr>
        <w:rPr>
          <w:sz w:val="20"/>
          <w:szCs w:val="20"/>
        </w:rPr>
      </w:pPr>
      <w:r w:rsidRPr="00B67BF4">
        <w:rPr>
          <w:sz w:val="20"/>
          <w:szCs w:val="20"/>
        </w:rPr>
        <w:t>Engage Communities of Practice to enable innovation</w:t>
      </w:r>
      <w:r w:rsidR="00406311" w:rsidRPr="00B67BF4">
        <w:rPr>
          <w:sz w:val="20"/>
          <w:szCs w:val="20"/>
        </w:rPr>
        <w:t>, participation and</w:t>
      </w:r>
      <w:r w:rsidRPr="00B67BF4">
        <w:rPr>
          <w:sz w:val="20"/>
          <w:szCs w:val="20"/>
        </w:rPr>
        <w:t xml:space="preserve"> capacity in the University’s </w:t>
      </w:r>
      <w:r w:rsidR="00132FDF" w:rsidRPr="00B67BF4">
        <w:rPr>
          <w:sz w:val="20"/>
          <w:szCs w:val="20"/>
        </w:rPr>
        <w:t xml:space="preserve">Strategic Asset Management </w:t>
      </w:r>
      <w:r w:rsidR="00802F65">
        <w:rPr>
          <w:sz w:val="20"/>
          <w:szCs w:val="20"/>
        </w:rPr>
        <w:t>Framework</w:t>
      </w:r>
      <w:r w:rsidR="00802F65" w:rsidRPr="00B67BF4">
        <w:rPr>
          <w:sz w:val="20"/>
          <w:szCs w:val="20"/>
        </w:rPr>
        <w:t xml:space="preserve"> </w:t>
      </w:r>
      <w:r w:rsidR="00132FDF" w:rsidRPr="00B67BF4">
        <w:rPr>
          <w:sz w:val="20"/>
          <w:szCs w:val="20"/>
        </w:rPr>
        <w:t>and Plan</w:t>
      </w:r>
      <w:r w:rsidR="00A3368D">
        <w:rPr>
          <w:sz w:val="20"/>
          <w:szCs w:val="20"/>
        </w:rPr>
        <w:t>.</w:t>
      </w:r>
    </w:p>
    <w:p w:rsidR="00A3368D" w:rsidRDefault="00D73B42" w:rsidP="00802F65">
      <w:pPr>
        <w:pStyle w:val="ListParagraph"/>
        <w:numPr>
          <w:ilvl w:val="2"/>
          <w:numId w:val="1"/>
        </w:numPr>
        <w:rPr>
          <w:sz w:val="20"/>
          <w:szCs w:val="20"/>
        </w:rPr>
      </w:pPr>
      <w:r w:rsidRPr="00802F65">
        <w:rPr>
          <w:sz w:val="20"/>
          <w:szCs w:val="20"/>
        </w:rPr>
        <w:t>Apply an organisation-wide view in decision making that supports the optimisation and sustainable management of the University’s asset</w:t>
      </w:r>
      <w:r w:rsidR="00D216B5">
        <w:rPr>
          <w:sz w:val="20"/>
          <w:szCs w:val="20"/>
        </w:rPr>
        <w:t>s</w:t>
      </w:r>
      <w:r w:rsidR="00802F65">
        <w:rPr>
          <w:sz w:val="20"/>
          <w:szCs w:val="20"/>
        </w:rPr>
        <w:t xml:space="preserve">. </w:t>
      </w:r>
    </w:p>
    <w:p w:rsidR="00A3368D" w:rsidRDefault="00A3368D" w:rsidP="00802F65">
      <w:pPr>
        <w:pStyle w:val="ListParagraph"/>
        <w:numPr>
          <w:ilvl w:val="2"/>
          <w:numId w:val="1"/>
        </w:numPr>
        <w:rPr>
          <w:sz w:val="20"/>
          <w:szCs w:val="20"/>
        </w:rPr>
      </w:pPr>
      <w:r>
        <w:rPr>
          <w:sz w:val="20"/>
          <w:szCs w:val="20"/>
        </w:rPr>
        <w:t>Apply asset management optimisation principles in an effort to reach the best compromise between conflicting objectives, such as costs versus performance versus risks, and short-term versus long-term impacts</w:t>
      </w:r>
      <w:r w:rsidR="00D216B5">
        <w:rPr>
          <w:sz w:val="20"/>
          <w:szCs w:val="20"/>
        </w:rPr>
        <w:t>.</w:t>
      </w:r>
    </w:p>
    <w:p w:rsidR="008B039A" w:rsidRPr="00491776" w:rsidRDefault="00A3368D" w:rsidP="00C669E8">
      <w:pPr>
        <w:pStyle w:val="ListParagraph"/>
        <w:numPr>
          <w:ilvl w:val="2"/>
          <w:numId w:val="1"/>
        </w:numPr>
        <w:rPr>
          <w:sz w:val="20"/>
          <w:szCs w:val="20"/>
        </w:rPr>
      </w:pPr>
      <w:r>
        <w:rPr>
          <w:sz w:val="20"/>
          <w:szCs w:val="20"/>
        </w:rPr>
        <w:t>Develop sustainable asset strategies and solutions that deliver optimal asset life cycle value</w:t>
      </w:r>
      <w:r w:rsidR="00D216B5">
        <w:rPr>
          <w:sz w:val="20"/>
          <w:szCs w:val="20"/>
        </w:rPr>
        <w:t xml:space="preserve"> and improve the performance of the estate.</w:t>
      </w:r>
    </w:p>
    <w:p w:rsidR="00562375" w:rsidRPr="00B67BF4" w:rsidRDefault="00562375" w:rsidP="00562375">
      <w:pPr>
        <w:pStyle w:val="ListParagraph"/>
        <w:numPr>
          <w:ilvl w:val="0"/>
          <w:numId w:val="1"/>
        </w:numPr>
        <w:rPr>
          <w:sz w:val="20"/>
          <w:szCs w:val="20"/>
        </w:rPr>
      </w:pPr>
      <w:r w:rsidRPr="00B67BF4">
        <w:rPr>
          <w:b/>
          <w:sz w:val="20"/>
          <w:szCs w:val="20"/>
        </w:rPr>
        <w:t>FUNCTIONS</w:t>
      </w:r>
    </w:p>
    <w:p w:rsidR="00406311" w:rsidRPr="00B67BF4" w:rsidRDefault="00406311" w:rsidP="00406311">
      <w:pPr>
        <w:pStyle w:val="ListParagraph"/>
        <w:numPr>
          <w:ilvl w:val="1"/>
          <w:numId w:val="1"/>
        </w:numPr>
        <w:rPr>
          <w:sz w:val="20"/>
          <w:szCs w:val="20"/>
        </w:rPr>
      </w:pPr>
      <w:r w:rsidRPr="00B67BF4">
        <w:rPr>
          <w:sz w:val="20"/>
          <w:szCs w:val="20"/>
        </w:rPr>
        <w:t>The Advisory Group will:</w:t>
      </w:r>
    </w:p>
    <w:p w:rsidR="00723F01" w:rsidRPr="00723F01" w:rsidRDefault="00FC6148" w:rsidP="00723F01">
      <w:pPr>
        <w:pStyle w:val="ListParagraph"/>
        <w:numPr>
          <w:ilvl w:val="2"/>
          <w:numId w:val="1"/>
        </w:numPr>
        <w:rPr>
          <w:sz w:val="20"/>
          <w:szCs w:val="20"/>
        </w:rPr>
      </w:pPr>
      <w:r>
        <w:rPr>
          <w:sz w:val="20"/>
          <w:szCs w:val="20"/>
        </w:rPr>
        <w:t xml:space="preserve">Actively participate in </w:t>
      </w:r>
      <w:r w:rsidR="00723F01" w:rsidRPr="00723F01">
        <w:rPr>
          <w:sz w:val="20"/>
          <w:szCs w:val="20"/>
        </w:rPr>
        <w:t>the Asset Management Gateway Process</w:t>
      </w:r>
      <w:r w:rsidR="006311FE">
        <w:rPr>
          <w:sz w:val="20"/>
          <w:szCs w:val="20"/>
        </w:rPr>
        <w:t xml:space="preserve"> with specific</w:t>
      </w:r>
      <w:r>
        <w:rPr>
          <w:sz w:val="20"/>
          <w:szCs w:val="20"/>
        </w:rPr>
        <w:t xml:space="preserve"> focus on </w:t>
      </w:r>
      <w:r w:rsidR="00723F01" w:rsidRPr="00723F01">
        <w:rPr>
          <w:sz w:val="20"/>
          <w:szCs w:val="20"/>
        </w:rPr>
        <w:t>the Consultation and Strategy Development stages.</w:t>
      </w:r>
    </w:p>
    <w:p w:rsidR="00A3368D" w:rsidRPr="00A3368D" w:rsidRDefault="00A3368D" w:rsidP="00A3368D">
      <w:pPr>
        <w:pStyle w:val="ListParagraph"/>
        <w:numPr>
          <w:ilvl w:val="2"/>
          <w:numId w:val="1"/>
        </w:numPr>
        <w:rPr>
          <w:sz w:val="20"/>
          <w:szCs w:val="20"/>
        </w:rPr>
      </w:pPr>
      <w:r w:rsidRPr="00A3368D">
        <w:rPr>
          <w:sz w:val="20"/>
          <w:szCs w:val="20"/>
        </w:rPr>
        <w:t>Review the Asset Management Gateway Consultation outcomes to assist in understanding the business needs, opportunities</w:t>
      </w:r>
      <w:r w:rsidR="00723F01">
        <w:rPr>
          <w:sz w:val="20"/>
          <w:szCs w:val="20"/>
        </w:rPr>
        <w:t>,</w:t>
      </w:r>
      <w:r w:rsidRPr="00A3368D">
        <w:rPr>
          <w:sz w:val="20"/>
          <w:szCs w:val="20"/>
        </w:rPr>
        <w:t xml:space="preserve"> risks and challenges of the Faculties and Divisions</w:t>
      </w:r>
      <w:r w:rsidR="00D216B5">
        <w:rPr>
          <w:sz w:val="20"/>
          <w:szCs w:val="20"/>
        </w:rPr>
        <w:t>.</w:t>
      </w:r>
    </w:p>
    <w:p w:rsidR="00D73B42" w:rsidRPr="00B67BF4" w:rsidRDefault="00A3368D" w:rsidP="00C669E8">
      <w:pPr>
        <w:pStyle w:val="ListParagraph"/>
        <w:numPr>
          <w:ilvl w:val="2"/>
          <w:numId w:val="1"/>
        </w:numPr>
        <w:rPr>
          <w:sz w:val="20"/>
          <w:szCs w:val="20"/>
        </w:rPr>
      </w:pPr>
      <w:r>
        <w:rPr>
          <w:sz w:val="20"/>
          <w:szCs w:val="20"/>
        </w:rPr>
        <w:t>Collaborate with the SAMPWG</w:t>
      </w:r>
      <w:r w:rsidR="00723F01">
        <w:rPr>
          <w:sz w:val="20"/>
          <w:szCs w:val="20"/>
        </w:rPr>
        <w:t xml:space="preserve"> and the other Asset Management Advisory Groups</w:t>
      </w:r>
      <w:r>
        <w:rPr>
          <w:sz w:val="20"/>
          <w:szCs w:val="20"/>
        </w:rPr>
        <w:t xml:space="preserve"> </w:t>
      </w:r>
      <w:r w:rsidR="00132FDF" w:rsidRPr="00B67BF4">
        <w:rPr>
          <w:sz w:val="20"/>
          <w:szCs w:val="20"/>
        </w:rPr>
        <w:t>in the development of asset solutions to improve the alignment of the estate with business objectives</w:t>
      </w:r>
      <w:r w:rsidR="00D216B5">
        <w:rPr>
          <w:sz w:val="20"/>
          <w:szCs w:val="20"/>
        </w:rPr>
        <w:t>,</w:t>
      </w:r>
      <w:r w:rsidR="00132FDF" w:rsidRPr="00B67BF4">
        <w:rPr>
          <w:sz w:val="20"/>
          <w:szCs w:val="20"/>
        </w:rPr>
        <w:t xml:space="preserve"> clos</w:t>
      </w:r>
      <w:r w:rsidR="00406311" w:rsidRPr="00B67BF4">
        <w:rPr>
          <w:sz w:val="20"/>
          <w:szCs w:val="20"/>
        </w:rPr>
        <w:t>e</w:t>
      </w:r>
      <w:r w:rsidR="00132FDF" w:rsidRPr="00B67BF4">
        <w:rPr>
          <w:sz w:val="20"/>
          <w:szCs w:val="20"/>
        </w:rPr>
        <w:t xml:space="preserve"> the performance gap in the estate performance criteria</w:t>
      </w:r>
      <w:r w:rsidR="00D216B5">
        <w:rPr>
          <w:sz w:val="20"/>
          <w:szCs w:val="20"/>
        </w:rPr>
        <w:t xml:space="preserve"> and meet the needs of the Faculties and Divisions.</w:t>
      </w:r>
    </w:p>
    <w:p w:rsidR="00D216B5" w:rsidRDefault="00D216B5" w:rsidP="00D216B5">
      <w:pPr>
        <w:pStyle w:val="ListParagraph"/>
        <w:numPr>
          <w:ilvl w:val="2"/>
          <w:numId w:val="1"/>
        </w:numPr>
        <w:rPr>
          <w:sz w:val="20"/>
          <w:szCs w:val="20"/>
        </w:rPr>
      </w:pPr>
      <w:r>
        <w:rPr>
          <w:sz w:val="20"/>
          <w:szCs w:val="20"/>
        </w:rPr>
        <w:t>Provide a forum for stakeholders to advocate Faculty/Division asset priorities and issues.</w:t>
      </w:r>
    </w:p>
    <w:p w:rsidR="00D477F3" w:rsidRDefault="00FC6148">
      <w:pPr>
        <w:pStyle w:val="ListParagraph"/>
        <w:numPr>
          <w:ilvl w:val="2"/>
          <w:numId w:val="1"/>
        </w:numPr>
        <w:rPr>
          <w:sz w:val="20"/>
          <w:szCs w:val="20"/>
        </w:rPr>
      </w:pPr>
      <w:r>
        <w:rPr>
          <w:sz w:val="20"/>
          <w:szCs w:val="20"/>
        </w:rPr>
        <w:t xml:space="preserve">Recommend </w:t>
      </w:r>
      <w:r w:rsidR="005C37D3">
        <w:rPr>
          <w:sz w:val="20"/>
          <w:szCs w:val="20"/>
        </w:rPr>
        <w:t xml:space="preserve">to the SAMC </w:t>
      </w:r>
      <w:r>
        <w:rPr>
          <w:sz w:val="20"/>
          <w:szCs w:val="20"/>
        </w:rPr>
        <w:t>asset strategies and solutions</w:t>
      </w:r>
      <w:r w:rsidR="0089534D" w:rsidRPr="00B67BF4">
        <w:rPr>
          <w:sz w:val="20"/>
          <w:szCs w:val="20"/>
        </w:rPr>
        <w:t xml:space="preserve"> </w:t>
      </w:r>
      <w:r w:rsidR="005C37D3">
        <w:rPr>
          <w:sz w:val="20"/>
          <w:szCs w:val="20"/>
        </w:rPr>
        <w:t>for i</w:t>
      </w:r>
      <w:r w:rsidR="00C03B26" w:rsidRPr="00B67BF4">
        <w:rPr>
          <w:sz w:val="20"/>
          <w:szCs w:val="20"/>
        </w:rPr>
        <w:t>ncorpora</w:t>
      </w:r>
      <w:r w:rsidR="005C37D3">
        <w:rPr>
          <w:sz w:val="20"/>
          <w:szCs w:val="20"/>
        </w:rPr>
        <w:t>tion in</w:t>
      </w:r>
      <w:r w:rsidR="00C03B26" w:rsidRPr="00B67BF4">
        <w:rPr>
          <w:sz w:val="20"/>
          <w:szCs w:val="20"/>
        </w:rPr>
        <w:t xml:space="preserve"> the Asset Implementation Plans: Capital Investment, Maintenance, Sp</w:t>
      </w:r>
      <w:r w:rsidR="0053687D" w:rsidRPr="00B67BF4">
        <w:rPr>
          <w:sz w:val="20"/>
          <w:szCs w:val="20"/>
        </w:rPr>
        <w:t>ace and Surplus Asset Plan</w:t>
      </w:r>
      <w:r>
        <w:rPr>
          <w:sz w:val="20"/>
          <w:szCs w:val="20"/>
        </w:rPr>
        <w:t>s</w:t>
      </w:r>
      <w:r w:rsidR="00D216B5">
        <w:rPr>
          <w:sz w:val="20"/>
          <w:szCs w:val="20"/>
        </w:rPr>
        <w:t>.</w:t>
      </w:r>
    </w:p>
    <w:p w:rsidR="00723F01" w:rsidRDefault="00723F01" w:rsidP="00723F01">
      <w:pPr>
        <w:pStyle w:val="ListParagraph"/>
        <w:numPr>
          <w:ilvl w:val="2"/>
          <w:numId w:val="1"/>
        </w:numPr>
        <w:rPr>
          <w:sz w:val="20"/>
          <w:szCs w:val="20"/>
        </w:rPr>
      </w:pPr>
      <w:r>
        <w:rPr>
          <w:sz w:val="20"/>
          <w:szCs w:val="20"/>
        </w:rPr>
        <w:t>Provide subject matter expertise to the Strategic Asset Management Working Group (SAMPWG), Project Steering Committees and Project Control Groups.</w:t>
      </w:r>
    </w:p>
    <w:p w:rsidR="00F34EC1" w:rsidRPr="006201CB" w:rsidRDefault="00F34EC1" w:rsidP="00723F01">
      <w:pPr>
        <w:pStyle w:val="ListParagraph"/>
        <w:numPr>
          <w:ilvl w:val="2"/>
          <w:numId w:val="1"/>
        </w:numPr>
        <w:rPr>
          <w:sz w:val="20"/>
          <w:szCs w:val="20"/>
        </w:rPr>
      </w:pPr>
      <w:r>
        <w:rPr>
          <w:sz w:val="20"/>
          <w:szCs w:val="20"/>
        </w:rPr>
        <w:lastRenderedPageBreak/>
        <w:t>Provide feedback on the efficacy of the Asset Impleme</w:t>
      </w:r>
      <w:r w:rsidR="00F56534">
        <w:rPr>
          <w:sz w:val="20"/>
          <w:szCs w:val="20"/>
        </w:rPr>
        <w:t>ntation Plans as part of the Annual Asset Planning Cycle performance review.</w:t>
      </w:r>
    </w:p>
    <w:p w:rsidR="00540BE6" w:rsidRPr="00B67BF4" w:rsidRDefault="00540BE6" w:rsidP="00540BE6">
      <w:pPr>
        <w:pStyle w:val="ListParagraph"/>
        <w:numPr>
          <w:ilvl w:val="0"/>
          <w:numId w:val="1"/>
        </w:numPr>
        <w:rPr>
          <w:b/>
          <w:sz w:val="20"/>
          <w:szCs w:val="20"/>
        </w:rPr>
      </w:pPr>
      <w:r w:rsidRPr="00B67BF4">
        <w:rPr>
          <w:b/>
          <w:sz w:val="20"/>
          <w:szCs w:val="20"/>
        </w:rPr>
        <w:t>DELEGATIONS</w:t>
      </w:r>
    </w:p>
    <w:p w:rsidR="008F5EE5" w:rsidRDefault="00AA7414" w:rsidP="00562375">
      <w:pPr>
        <w:pStyle w:val="ListParagraph"/>
        <w:numPr>
          <w:ilvl w:val="1"/>
          <w:numId w:val="1"/>
        </w:numPr>
        <w:rPr>
          <w:sz w:val="20"/>
          <w:szCs w:val="20"/>
        </w:rPr>
      </w:pPr>
      <w:r w:rsidRPr="00B67BF4">
        <w:rPr>
          <w:sz w:val="20"/>
          <w:szCs w:val="20"/>
        </w:rPr>
        <w:t xml:space="preserve">The Advisory Group has no </w:t>
      </w:r>
      <w:r w:rsidR="005C37D3">
        <w:rPr>
          <w:sz w:val="20"/>
          <w:szCs w:val="20"/>
        </w:rPr>
        <w:t xml:space="preserve">financial or decision making </w:t>
      </w:r>
      <w:r w:rsidRPr="00B67BF4">
        <w:rPr>
          <w:sz w:val="20"/>
          <w:szCs w:val="20"/>
        </w:rPr>
        <w:t>delegations.</w:t>
      </w:r>
    </w:p>
    <w:p w:rsidR="008B039A" w:rsidRPr="00B67BF4" w:rsidRDefault="008B039A" w:rsidP="008B039A">
      <w:pPr>
        <w:pStyle w:val="ListParagraph"/>
        <w:ind w:left="1440"/>
        <w:rPr>
          <w:sz w:val="20"/>
          <w:szCs w:val="20"/>
        </w:rPr>
      </w:pPr>
    </w:p>
    <w:p w:rsidR="00540BE6" w:rsidRPr="00B67BF4" w:rsidRDefault="00540BE6" w:rsidP="00540BE6">
      <w:pPr>
        <w:pStyle w:val="ListParagraph"/>
        <w:numPr>
          <w:ilvl w:val="0"/>
          <w:numId w:val="1"/>
        </w:numPr>
        <w:rPr>
          <w:b/>
          <w:sz w:val="20"/>
          <w:szCs w:val="20"/>
        </w:rPr>
      </w:pPr>
      <w:r w:rsidRPr="00B67BF4">
        <w:rPr>
          <w:b/>
          <w:sz w:val="20"/>
          <w:szCs w:val="20"/>
        </w:rPr>
        <w:t>MEMBERSHIP</w:t>
      </w:r>
    </w:p>
    <w:p w:rsidR="00EC2C89" w:rsidRPr="00B67BF4" w:rsidRDefault="00EC2C89" w:rsidP="00EC2C89">
      <w:pPr>
        <w:pStyle w:val="ListParagraph"/>
        <w:numPr>
          <w:ilvl w:val="1"/>
          <w:numId w:val="1"/>
        </w:numPr>
        <w:spacing w:before="240"/>
        <w:rPr>
          <w:sz w:val="20"/>
          <w:szCs w:val="20"/>
        </w:rPr>
      </w:pPr>
      <w:r w:rsidRPr="00B67BF4">
        <w:rPr>
          <w:sz w:val="20"/>
          <w:szCs w:val="20"/>
        </w:rPr>
        <w:t>The membership of the Advisory Group will consist of:</w:t>
      </w:r>
    </w:p>
    <w:p w:rsidR="00D9030D" w:rsidRDefault="00D9030D" w:rsidP="00D9030D">
      <w:pPr>
        <w:pStyle w:val="ListParagraph"/>
        <w:numPr>
          <w:ilvl w:val="2"/>
          <w:numId w:val="1"/>
        </w:numPr>
        <w:spacing w:before="240"/>
        <w:rPr>
          <w:sz w:val="20"/>
          <w:szCs w:val="20"/>
        </w:rPr>
      </w:pPr>
      <w:r w:rsidRPr="00074BF5">
        <w:rPr>
          <w:sz w:val="20"/>
          <w:szCs w:val="20"/>
        </w:rPr>
        <w:t>Pr</w:t>
      </w:r>
      <w:r w:rsidR="001410E7">
        <w:rPr>
          <w:sz w:val="20"/>
          <w:szCs w:val="20"/>
        </w:rPr>
        <w:t xml:space="preserve">o Vice Chancellor Learning &amp; </w:t>
      </w:r>
      <w:r w:rsidRPr="00074BF5">
        <w:rPr>
          <w:sz w:val="20"/>
          <w:szCs w:val="20"/>
        </w:rPr>
        <w:t>Teaching</w:t>
      </w:r>
      <w:r>
        <w:rPr>
          <w:sz w:val="20"/>
          <w:szCs w:val="20"/>
        </w:rPr>
        <w:t xml:space="preserve"> (Chair)</w:t>
      </w:r>
    </w:p>
    <w:p w:rsidR="00D9030D" w:rsidRPr="00491776" w:rsidRDefault="00D9030D" w:rsidP="00D9030D">
      <w:pPr>
        <w:pStyle w:val="ListParagraph"/>
        <w:numPr>
          <w:ilvl w:val="2"/>
          <w:numId w:val="1"/>
        </w:numPr>
        <w:spacing w:before="240"/>
        <w:rPr>
          <w:sz w:val="20"/>
          <w:szCs w:val="20"/>
          <w:highlight w:val="yellow"/>
        </w:rPr>
      </w:pPr>
      <w:r w:rsidRPr="00491776">
        <w:rPr>
          <w:sz w:val="20"/>
          <w:szCs w:val="20"/>
          <w:highlight w:val="yellow"/>
        </w:rPr>
        <w:t xml:space="preserve">Pro Vice Chancellor </w:t>
      </w:r>
      <w:r w:rsidR="001410E7" w:rsidRPr="00491776">
        <w:rPr>
          <w:sz w:val="20"/>
          <w:szCs w:val="20"/>
          <w:highlight w:val="yellow"/>
        </w:rPr>
        <w:t>International &amp;</w:t>
      </w:r>
      <w:r w:rsidRPr="00491776">
        <w:rPr>
          <w:sz w:val="20"/>
          <w:szCs w:val="20"/>
          <w:highlight w:val="yellow"/>
        </w:rPr>
        <w:t xml:space="preserve"> Advancement (Deputy Chair)</w:t>
      </w:r>
    </w:p>
    <w:p w:rsidR="00D9030D" w:rsidRPr="00074BF5" w:rsidRDefault="00D9030D" w:rsidP="00D9030D">
      <w:pPr>
        <w:pStyle w:val="ListParagraph"/>
        <w:numPr>
          <w:ilvl w:val="2"/>
          <w:numId w:val="1"/>
        </w:numPr>
        <w:spacing w:before="240"/>
        <w:rPr>
          <w:sz w:val="20"/>
          <w:szCs w:val="20"/>
        </w:rPr>
      </w:pPr>
      <w:r w:rsidRPr="00074BF5">
        <w:rPr>
          <w:sz w:val="20"/>
          <w:szCs w:val="20"/>
        </w:rPr>
        <w:t>PVC Education and Arts</w:t>
      </w:r>
    </w:p>
    <w:p w:rsidR="00D9030D" w:rsidRPr="00074BF5" w:rsidRDefault="00D9030D" w:rsidP="00D9030D">
      <w:pPr>
        <w:pStyle w:val="ListParagraph"/>
        <w:numPr>
          <w:ilvl w:val="2"/>
          <w:numId w:val="1"/>
        </w:numPr>
        <w:spacing w:before="240"/>
        <w:rPr>
          <w:sz w:val="20"/>
          <w:szCs w:val="20"/>
        </w:rPr>
      </w:pPr>
      <w:r w:rsidRPr="00074BF5">
        <w:rPr>
          <w:sz w:val="20"/>
          <w:szCs w:val="20"/>
        </w:rPr>
        <w:t xml:space="preserve">Associate Director, </w:t>
      </w:r>
      <w:r w:rsidR="001410E7">
        <w:rPr>
          <w:sz w:val="20"/>
          <w:szCs w:val="20"/>
        </w:rPr>
        <w:t>IT Services</w:t>
      </w:r>
    </w:p>
    <w:p w:rsidR="00D9030D" w:rsidRPr="00074BF5" w:rsidRDefault="00D9030D" w:rsidP="00D9030D">
      <w:pPr>
        <w:pStyle w:val="ListParagraph"/>
        <w:numPr>
          <w:ilvl w:val="2"/>
          <w:numId w:val="1"/>
        </w:numPr>
        <w:spacing w:before="240"/>
        <w:rPr>
          <w:sz w:val="20"/>
          <w:szCs w:val="20"/>
        </w:rPr>
      </w:pPr>
      <w:r w:rsidRPr="00074BF5">
        <w:rPr>
          <w:sz w:val="20"/>
          <w:szCs w:val="20"/>
        </w:rPr>
        <w:t>Director, Centre for Teaching &amp; Learning</w:t>
      </w:r>
    </w:p>
    <w:p w:rsidR="00D9030D" w:rsidRPr="00074BF5" w:rsidRDefault="00D9030D" w:rsidP="00D9030D">
      <w:pPr>
        <w:pStyle w:val="ListParagraph"/>
        <w:numPr>
          <w:ilvl w:val="2"/>
          <w:numId w:val="1"/>
        </w:numPr>
        <w:spacing w:before="240"/>
        <w:rPr>
          <w:sz w:val="20"/>
          <w:szCs w:val="20"/>
        </w:rPr>
      </w:pPr>
      <w:r w:rsidRPr="00074BF5">
        <w:rPr>
          <w:sz w:val="20"/>
          <w:szCs w:val="20"/>
        </w:rPr>
        <w:t>Academic Registrar</w:t>
      </w:r>
    </w:p>
    <w:p w:rsidR="00D9030D" w:rsidRPr="00074BF5" w:rsidRDefault="00D9030D" w:rsidP="00D9030D">
      <w:pPr>
        <w:pStyle w:val="ListParagraph"/>
        <w:numPr>
          <w:ilvl w:val="2"/>
          <w:numId w:val="1"/>
        </w:numPr>
        <w:spacing w:before="240"/>
        <w:rPr>
          <w:sz w:val="20"/>
          <w:szCs w:val="20"/>
        </w:rPr>
      </w:pPr>
      <w:r w:rsidRPr="00074BF5">
        <w:rPr>
          <w:sz w:val="20"/>
          <w:szCs w:val="20"/>
        </w:rPr>
        <w:t>University Librarian</w:t>
      </w:r>
    </w:p>
    <w:p w:rsidR="00D9030D" w:rsidRPr="00074BF5" w:rsidRDefault="00D9030D" w:rsidP="00D9030D">
      <w:pPr>
        <w:pStyle w:val="ListParagraph"/>
        <w:numPr>
          <w:ilvl w:val="2"/>
          <w:numId w:val="1"/>
        </w:numPr>
        <w:spacing w:before="240"/>
        <w:rPr>
          <w:sz w:val="20"/>
          <w:szCs w:val="20"/>
        </w:rPr>
      </w:pPr>
      <w:r w:rsidRPr="00074BF5">
        <w:rPr>
          <w:sz w:val="20"/>
          <w:szCs w:val="20"/>
        </w:rPr>
        <w:t xml:space="preserve">CEO, </w:t>
      </w:r>
      <w:proofErr w:type="spellStart"/>
      <w:r w:rsidRPr="00074BF5">
        <w:rPr>
          <w:sz w:val="20"/>
          <w:szCs w:val="20"/>
        </w:rPr>
        <w:t>UoNS</w:t>
      </w:r>
      <w:proofErr w:type="spellEnd"/>
    </w:p>
    <w:p w:rsidR="00D9030D" w:rsidRDefault="00D9030D" w:rsidP="00D9030D">
      <w:pPr>
        <w:pStyle w:val="ListParagraph"/>
        <w:numPr>
          <w:ilvl w:val="2"/>
          <w:numId w:val="1"/>
        </w:numPr>
        <w:spacing w:before="240"/>
        <w:rPr>
          <w:sz w:val="20"/>
          <w:szCs w:val="20"/>
        </w:rPr>
      </w:pPr>
      <w:r w:rsidRPr="00074BF5">
        <w:rPr>
          <w:sz w:val="20"/>
          <w:szCs w:val="20"/>
        </w:rPr>
        <w:t>Manager, Strategic Planning</w:t>
      </w:r>
      <w:r w:rsidR="001410E7">
        <w:rPr>
          <w:sz w:val="20"/>
          <w:szCs w:val="20"/>
        </w:rPr>
        <w:t>, Infrastructure &amp; Facilities Services</w:t>
      </w:r>
    </w:p>
    <w:p w:rsidR="008B039A" w:rsidRDefault="008B039A" w:rsidP="00EC2C89">
      <w:pPr>
        <w:pStyle w:val="ListParagraph"/>
        <w:spacing w:before="240"/>
        <w:ind w:left="1440"/>
        <w:rPr>
          <w:b/>
          <w:sz w:val="20"/>
          <w:szCs w:val="20"/>
        </w:rPr>
      </w:pPr>
    </w:p>
    <w:p w:rsidR="004210C1" w:rsidRPr="00B67BF4" w:rsidRDefault="004210C1" w:rsidP="007C0C75">
      <w:pPr>
        <w:pStyle w:val="ListParagraph"/>
        <w:numPr>
          <w:ilvl w:val="0"/>
          <w:numId w:val="1"/>
        </w:numPr>
        <w:rPr>
          <w:b/>
          <w:sz w:val="20"/>
          <w:szCs w:val="20"/>
        </w:rPr>
      </w:pPr>
      <w:r w:rsidRPr="00B67BF4">
        <w:rPr>
          <w:b/>
          <w:sz w:val="20"/>
          <w:szCs w:val="20"/>
        </w:rPr>
        <w:t>INVITEES</w:t>
      </w:r>
    </w:p>
    <w:p w:rsidR="004210C1" w:rsidRDefault="004210C1" w:rsidP="004210C1">
      <w:pPr>
        <w:pStyle w:val="ListParagraph"/>
        <w:numPr>
          <w:ilvl w:val="1"/>
          <w:numId w:val="1"/>
        </w:numPr>
        <w:rPr>
          <w:sz w:val="20"/>
          <w:szCs w:val="20"/>
        </w:rPr>
      </w:pPr>
      <w:r w:rsidRPr="00B67BF4">
        <w:rPr>
          <w:sz w:val="20"/>
          <w:szCs w:val="20"/>
        </w:rPr>
        <w:t>The Advisory Group may invite any person or persons whether from within or external to the University as it may determine to assist in its deliberations either for particular items or for whole meetings.</w:t>
      </w:r>
    </w:p>
    <w:p w:rsidR="008B039A" w:rsidRPr="00B67BF4" w:rsidRDefault="008B039A" w:rsidP="008B039A">
      <w:pPr>
        <w:pStyle w:val="ListParagraph"/>
        <w:ind w:left="1440"/>
        <w:rPr>
          <w:sz w:val="20"/>
          <w:szCs w:val="20"/>
        </w:rPr>
      </w:pPr>
    </w:p>
    <w:p w:rsidR="004210C1" w:rsidRPr="00B67BF4" w:rsidRDefault="004210C1" w:rsidP="004210C1">
      <w:pPr>
        <w:pStyle w:val="ListParagraph"/>
        <w:numPr>
          <w:ilvl w:val="0"/>
          <w:numId w:val="1"/>
        </w:numPr>
        <w:rPr>
          <w:b/>
          <w:sz w:val="20"/>
          <w:szCs w:val="20"/>
        </w:rPr>
      </w:pPr>
      <w:r w:rsidRPr="00B67BF4">
        <w:rPr>
          <w:b/>
          <w:sz w:val="20"/>
          <w:szCs w:val="20"/>
        </w:rPr>
        <w:t>REPORTING</w:t>
      </w:r>
    </w:p>
    <w:p w:rsidR="00870166" w:rsidRDefault="004210C1" w:rsidP="004210C1">
      <w:pPr>
        <w:pStyle w:val="ListParagraph"/>
        <w:numPr>
          <w:ilvl w:val="1"/>
          <w:numId w:val="1"/>
        </w:numPr>
        <w:rPr>
          <w:sz w:val="20"/>
          <w:szCs w:val="20"/>
        </w:rPr>
      </w:pPr>
      <w:r w:rsidRPr="00B67BF4">
        <w:rPr>
          <w:sz w:val="20"/>
          <w:szCs w:val="20"/>
        </w:rPr>
        <w:t>The Advisory Group reports to</w:t>
      </w:r>
      <w:r w:rsidR="00870166" w:rsidRPr="00B67BF4">
        <w:rPr>
          <w:sz w:val="20"/>
          <w:szCs w:val="20"/>
        </w:rPr>
        <w:t xml:space="preserve"> the SAMC.</w:t>
      </w:r>
    </w:p>
    <w:p w:rsidR="008B039A" w:rsidRPr="00B67BF4" w:rsidRDefault="008B039A" w:rsidP="008B039A">
      <w:pPr>
        <w:pStyle w:val="ListParagraph"/>
        <w:ind w:left="1440"/>
        <w:rPr>
          <w:sz w:val="20"/>
          <w:szCs w:val="20"/>
        </w:rPr>
      </w:pPr>
    </w:p>
    <w:p w:rsidR="004210C1" w:rsidRPr="00B67BF4" w:rsidRDefault="004210C1" w:rsidP="004210C1">
      <w:pPr>
        <w:pStyle w:val="ListParagraph"/>
        <w:numPr>
          <w:ilvl w:val="0"/>
          <w:numId w:val="1"/>
        </w:numPr>
        <w:rPr>
          <w:b/>
          <w:sz w:val="20"/>
          <w:szCs w:val="20"/>
        </w:rPr>
      </w:pPr>
      <w:r w:rsidRPr="00B67BF4">
        <w:rPr>
          <w:b/>
          <w:sz w:val="20"/>
          <w:szCs w:val="20"/>
        </w:rPr>
        <w:t>REVIEW OF THE COMMITTEE</w:t>
      </w:r>
    </w:p>
    <w:p w:rsidR="00562375" w:rsidRDefault="004210C1" w:rsidP="00562375">
      <w:pPr>
        <w:pStyle w:val="ListParagraph"/>
        <w:numPr>
          <w:ilvl w:val="1"/>
          <w:numId w:val="1"/>
        </w:numPr>
        <w:rPr>
          <w:sz w:val="20"/>
          <w:szCs w:val="20"/>
        </w:rPr>
      </w:pPr>
      <w:r w:rsidRPr="00B67BF4">
        <w:rPr>
          <w:sz w:val="20"/>
          <w:szCs w:val="20"/>
        </w:rPr>
        <w:t xml:space="preserve">The Advisory Group will </w:t>
      </w:r>
      <w:r w:rsidR="00562375" w:rsidRPr="00B67BF4">
        <w:rPr>
          <w:sz w:val="20"/>
          <w:szCs w:val="20"/>
        </w:rPr>
        <w:t>review its functions and performan</w:t>
      </w:r>
      <w:r w:rsidR="008B039A">
        <w:rPr>
          <w:sz w:val="20"/>
          <w:szCs w:val="20"/>
        </w:rPr>
        <w:t>ce at a minimum every two years.</w:t>
      </w:r>
    </w:p>
    <w:p w:rsidR="008B039A" w:rsidRPr="00B67BF4" w:rsidRDefault="008B039A" w:rsidP="008B039A">
      <w:pPr>
        <w:pStyle w:val="ListParagraph"/>
        <w:ind w:left="1440"/>
        <w:rPr>
          <w:sz w:val="20"/>
          <w:szCs w:val="20"/>
        </w:rPr>
      </w:pPr>
    </w:p>
    <w:p w:rsidR="004210C1" w:rsidRPr="00B67BF4" w:rsidRDefault="004210C1" w:rsidP="004210C1">
      <w:pPr>
        <w:pStyle w:val="ListParagraph"/>
        <w:numPr>
          <w:ilvl w:val="0"/>
          <w:numId w:val="1"/>
        </w:numPr>
        <w:rPr>
          <w:b/>
          <w:sz w:val="20"/>
          <w:szCs w:val="20"/>
        </w:rPr>
      </w:pPr>
      <w:r w:rsidRPr="00B67BF4">
        <w:rPr>
          <w:b/>
          <w:sz w:val="20"/>
          <w:szCs w:val="20"/>
        </w:rPr>
        <w:t>FREQUENCY OF MEETINGS</w:t>
      </w:r>
    </w:p>
    <w:p w:rsidR="004210C1" w:rsidRPr="00B67BF4" w:rsidRDefault="004210C1" w:rsidP="004210C1">
      <w:pPr>
        <w:pStyle w:val="ListParagraph"/>
        <w:numPr>
          <w:ilvl w:val="1"/>
          <w:numId w:val="1"/>
        </w:numPr>
        <w:rPr>
          <w:sz w:val="20"/>
          <w:szCs w:val="20"/>
        </w:rPr>
      </w:pPr>
      <w:r w:rsidRPr="00B67BF4">
        <w:rPr>
          <w:sz w:val="20"/>
          <w:szCs w:val="20"/>
        </w:rPr>
        <w:t>The Advisory Group will meet at a minimum four times a year with at least one meeting each quarter.</w:t>
      </w:r>
    </w:p>
    <w:p w:rsidR="004210C1" w:rsidRPr="00B67BF4" w:rsidRDefault="004210C1" w:rsidP="004210C1">
      <w:pPr>
        <w:pStyle w:val="ListParagraph"/>
        <w:ind w:left="1440"/>
        <w:rPr>
          <w:sz w:val="20"/>
          <w:szCs w:val="20"/>
        </w:rPr>
      </w:pPr>
    </w:p>
    <w:p w:rsidR="004210C1" w:rsidRPr="00B67BF4" w:rsidRDefault="004210C1" w:rsidP="004210C1">
      <w:pPr>
        <w:pStyle w:val="ListParagraph"/>
        <w:numPr>
          <w:ilvl w:val="0"/>
          <w:numId w:val="1"/>
        </w:numPr>
        <w:rPr>
          <w:b/>
          <w:sz w:val="20"/>
          <w:szCs w:val="20"/>
        </w:rPr>
      </w:pPr>
      <w:r w:rsidRPr="00B67BF4">
        <w:rPr>
          <w:b/>
          <w:sz w:val="20"/>
          <w:szCs w:val="20"/>
        </w:rPr>
        <w:t>QUORUM</w:t>
      </w:r>
    </w:p>
    <w:p w:rsidR="004210C1" w:rsidRPr="00B67BF4" w:rsidRDefault="004210C1" w:rsidP="004210C1">
      <w:pPr>
        <w:pStyle w:val="ListParagraph"/>
        <w:numPr>
          <w:ilvl w:val="1"/>
          <w:numId w:val="1"/>
        </w:numPr>
        <w:rPr>
          <w:sz w:val="20"/>
          <w:szCs w:val="20"/>
        </w:rPr>
      </w:pPr>
      <w:r w:rsidRPr="00B67BF4">
        <w:rPr>
          <w:sz w:val="20"/>
          <w:szCs w:val="20"/>
        </w:rPr>
        <w:t>The quorum for the meetings will be more than one half of the membership.</w:t>
      </w:r>
    </w:p>
    <w:p w:rsidR="004210C1" w:rsidRPr="00B67BF4" w:rsidRDefault="004210C1" w:rsidP="004210C1">
      <w:pPr>
        <w:pStyle w:val="ListParagraph"/>
        <w:numPr>
          <w:ilvl w:val="1"/>
          <w:numId w:val="1"/>
        </w:numPr>
        <w:rPr>
          <w:sz w:val="20"/>
          <w:szCs w:val="20"/>
        </w:rPr>
      </w:pPr>
      <w:r w:rsidRPr="00B67BF4">
        <w:rPr>
          <w:sz w:val="20"/>
          <w:szCs w:val="20"/>
        </w:rPr>
        <w:t>Inquorate meetings will be guided by the provisions of the Meeting Protocols Policy – 000229.</w:t>
      </w:r>
    </w:p>
    <w:p w:rsidR="004210C1" w:rsidRPr="00B67BF4" w:rsidRDefault="004210C1" w:rsidP="004210C1">
      <w:pPr>
        <w:pStyle w:val="ListParagraph"/>
        <w:ind w:left="1440"/>
        <w:rPr>
          <w:sz w:val="20"/>
          <w:szCs w:val="20"/>
        </w:rPr>
      </w:pPr>
    </w:p>
    <w:p w:rsidR="004210C1" w:rsidRPr="00B67BF4" w:rsidRDefault="004210C1" w:rsidP="004210C1">
      <w:pPr>
        <w:pStyle w:val="ListParagraph"/>
        <w:numPr>
          <w:ilvl w:val="0"/>
          <w:numId w:val="1"/>
        </w:numPr>
        <w:rPr>
          <w:b/>
          <w:sz w:val="20"/>
          <w:szCs w:val="20"/>
        </w:rPr>
      </w:pPr>
      <w:r w:rsidRPr="00B67BF4">
        <w:rPr>
          <w:b/>
          <w:sz w:val="20"/>
          <w:szCs w:val="20"/>
        </w:rPr>
        <w:t>SERVI</w:t>
      </w:r>
      <w:r w:rsidR="00562375" w:rsidRPr="00B67BF4">
        <w:rPr>
          <w:b/>
          <w:sz w:val="20"/>
          <w:szCs w:val="20"/>
        </w:rPr>
        <w:t>C</w:t>
      </w:r>
      <w:r w:rsidRPr="00B67BF4">
        <w:rPr>
          <w:b/>
          <w:sz w:val="20"/>
          <w:szCs w:val="20"/>
        </w:rPr>
        <w:t>ING OF COMMITTEE</w:t>
      </w:r>
    </w:p>
    <w:p w:rsidR="00562375" w:rsidRPr="00B67BF4" w:rsidRDefault="00562375" w:rsidP="00562375">
      <w:pPr>
        <w:pStyle w:val="ListParagraph"/>
        <w:numPr>
          <w:ilvl w:val="1"/>
          <w:numId w:val="1"/>
        </w:numPr>
        <w:rPr>
          <w:sz w:val="20"/>
          <w:szCs w:val="20"/>
        </w:rPr>
      </w:pPr>
      <w:r w:rsidRPr="00B67BF4">
        <w:rPr>
          <w:sz w:val="20"/>
          <w:szCs w:val="20"/>
        </w:rPr>
        <w:t xml:space="preserve">The </w:t>
      </w:r>
      <w:r w:rsidR="00F34EC1">
        <w:rPr>
          <w:sz w:val="20"/>
          <w:szCs w:val="20"/>
        </w:rPr>
        <w:t>Advisory Group</w:t>
      </w:r>
      <w:r w:rsidR="00F34EC1" w:rsidRPr="00B67BF4">
        <w:rPr>
          <w:sz w:val="20"/>
          <w:szCs w:val="20"/>
        </w:rPr>
        <w:t xml:space="preserve"> </w:t>
      </w:r>
      <w:r w:rsidRPr="00B67BF4">
        <w:rPr>
          <w:sz w:val="20"/>
          <w:szCs w:val="20"/>
        </w:rPr>
        <w:t xml:space="preserve">will be serviced through the </w:t>
      </w:r>
      <w:r w:rsidR="001A6B86">
        <w:rPr>
          <w:sz w:val="20"/>
          <w:szCs w:val="20"/>
        </w:rPr>
        <w:t>Strategic Governance Office – Resources Division.</w:t>
      </w:r>
    </w:p>
    <w:p w:rsidR="006031F5" w:rsidRPr="006031F5" w:rsidRDefault="006031F5" w:rsidP="006031F5">
      <w:pPr>
        <w:spacing w:after="0"/>
        <w:rPr>
          <w:sz w:val="24"/>
          <w:szCs w:val="24"/>
        </w:rPr>
      </w:pPr>
      <w:r w:rsidRPr="006031F5">
        <w:rPr>
          <w:sz w:val="24"/>
          <w:szCs w:val="24"/>
        </w:rPr>
        <w:t>Approval Authority: Strategic Asset Management Committee</w:t>
      </w:r>
    </w:p>
    <w:p w:rsidR="006031F5" w:rsidRPr="006031F5" w:rsidRDefault="006031F5" w:rsidP="006031F5">
      <w:pPr>
        <w:spacing w:after="0"/>
        <w:rPr>
          <w:sz w:val="24"/>
          <w:szCs w:val="24"/>
        </w:rPr>
      </w:pPr>
      <w:r w:rsidRPr="006031F5">
        <w:rPr>
          <w:sz w:val="24"/>
          <w:szCs w:val="24"/>
        </w:rPr>
        <w:t xml:space="preserve">Date Approved: </w:t>
      </w:r>
      <w:r w:rsidRPr="00413F75">
        <w:rPr>
          <w:color w:val="FF0000"/>
          <w:sz w:val="24"/>
          <w:szCs w:val="24"/>
        </w:rPr>
        <w:t>TBA</w:t>
      </w:r>
    </w:p>
    <w:p w:rsidR="006031F5" w:rsidRPr="006031F5" w:rsidRDefault="006031F5" w:rsidP="006031F5">
      <w:pPr>
        <w:spacing w:after="0"/>
        <w:rPr>
          <w:sz w:val="24"/>
          <w:szCs w:val="24"/>
        </w:rPr>
      </w:pPr>
      <w:r w:rsidRPr="006031F5">
        <w:rPr>
          <w:sz w:val="24"/>
          <w:szCs w:val="24"/>
        </w:rPr>
        <w:t>Date for Review: August 2015</w:t>
      </w:r>
    </w:p>
    <w:p w:rsidR="00562375" w:rsidRDefault="002A63B6" w:rsidP="006031F5">
      <w:pPr>
        <w:spacing w:after="0"/>
        <w:rPr>
          <w:sz w:val="24"/>
          <w:szCs w:val="24"/>
        </w:rPr>
      </w:pPr>
      <w:r>
        <w:rPr>
          <w:sz w:val="24"/>
          <w:szCs w:val="24"/>
        </w:rPr>
        <w:t>Contact Person: Secretary Barbara Morrow, Strategic Governance Office- Resources Division</w:t>
      </w:r>
    </w:p>
    <w:p w:rsidR="00892422" w:rsidRDefault="00892422">
      <w:pPr>
        <w:rPr>
          <w:sz w:val="24"/>
          <w:szCs w:val="24"/>
        </w:rPr>
      </w:pPr>
      <w:r>
        <w:rPr>
          <w:sz w:val="24"/>
          <w:szCs w:val="24"/>
        </w:rPr>
        <w:br w:type="page"/>
      </w:r>
    </w:p>
    <w:p w:rsidR="00892422" w:rsidRDefault="00892422" w:rsidP="00892422">
      <w:pPr>
        <w:spacing w:before="120" w:after="120" w:line="23" w:lineRule="atLeast"/>
        <w:jc w:val="center"/>
        <w:rPr>
          <w:b/>
          <w:sz w:val="24"/>
          <w:szCs w:val="24"/>
        </w:rPr>
      </w:pPr>
      <w:r w:rsidRPr="00BD3384">
        <w:rPr>
          <w:b/>
          <w:sz w:val="24"/>
          <w:szCs w:val="24"/>
        </w:rPr>
        <w:lastRenderedPageBreak/>
        <w:t>M</w:t>
      </w:r>
      <w:r w:rsidR="00A12886">
        <w:rPr>
          <w:b/>
          <w:sz w:val="24"/>
          <w:szCs w:val="24"/>
        </w:rPr>
        <w:t>embership List for the</w:t>
      </w:r>
      <w:r w:rsidRPr="00BD3384">
        <w:rPr>
          <w:b/>
          <w:sz w:val="24"/>
          <w:szCs w:val="24"/>
        </w:rPr>
        <w:t xml:space="preserve"> </w:t>
      </w:r>
      <w:r>
        <w:rPr>
          <w:b/>
          <w:sz w:val="24"/>
          <w:szCs w:val="24"/>
        </w:rPr>
        <w:t>Asset Management</w:t>
      </w:r>
      <w:r w:rsidRPr="00BD3384">
        <w:rPr>
          <w:b/>
          <w:sz w:val="24"/>
          <w:szCs w:val="24"/>
        </w:rPr>
        <w:t xml:space="preserve"> </w:t>
      </w:r>
      <w:r>
        <w:rPr>
          <w:b/>
          <w:sz w:val="24"/>
          <w:szCs w:val="24"/>
        </w:rPr>
        <w:t>Education Advisory Group</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103"/>
      </w:tblGrid>
      <w:tr w:rsidR="00892422" w:rsidTr="00892422">
        <w:tc>
          <w:tcPr>
            <w:tcW w:w="4219" w:type="dxa"/>
            <w:shd w:val="clear" w:color="auto" w:fill="D9D9D9" w:themeFill="background1" w:themeFillShade="D9"/>
          </w:tcPr>
          <w:p w:rsidR="00892422" w:rsidRDefault="00892422" w:rsidP="00831F50">
            <w:pPr>
              <w:spacing w:before="120" w:after="120" w:line="23" w:lineRule="atLeast"/>
              <w:rPr>
                <w:b/>
                <w:sz w:val="24"/>
                <w:szCs w:val="24"/>
              </w:rPr>
            </w:pPr>
            <w:r>
              <w:rPr>
                <w:b/>
                <w:sz w:val="24"/>
                <w:szCs w:val="24"/>
              </w:rPr>
              <w:t>Chair</w:t>
            </w:r>
          </w:p>
        </w:tc>
        <w:tc>
          <w:tcPr>
            <w:tcW w:w="5103" w:type="dxa"/>
            <w:shd w:val="clear" w:color="auto" w:fill="D9D9D9" w:themeFill="background1" w:themeFillShade="D9"/>
          </w:tcPr>
          <w:p w:rsidR="00892422" w:rsidRDefault="00892422" w:rsidP="00831F50">
            <w:pPr>
              <w:spacing w:before="120" w:after="120" w:line="23" w:lineRule="atLeast"/>
              <w:rPr>
                <w:b/>
                <w:sz w:val="24"/>
                <w:szCs w:val="24"/>
              </w:rPr>
            </w:pPr>
          </w:p>
        </w:tc>
      </w:tr>
      <w:tr w:rsidR="00892422" w:rsidTr="00892422">
        <w:tc>
          <w:tcPr>
            <w:tcW w:w="4219" w:type="dxa"/>
          </w:tcPr>
          <w:p w:rsidR="00892422" w:rsidRDefault="00892422" w:rsidP="00831F50">
            <w:pPr>
              <w:spacing w:before="120" w:after="120" w:line="23" w:lineRule="atLeast"/>
              <w:rPr>
                <w:b/>
                <w:sz w:val="24"/>
                <w:szCs w:val="24"/>
              </w:rPr>
            </w:pPr>
            <w:r w:rsidRPr="00892422">
              <w:rPr>
                <w:b/>
                <w:sz w:val="24"/>
                <w:szCs w:val="24"/>
              </w:rPr>
              <w:t>Pro Vice Chancellor Learning &amp; Teaching (Chair)</w:t>
            </w:r>
          </w:p>
        </w:tc>
        <w:tc>
          <w:tcPr>
            <w:tcW w:w="5103" w:type="dxa"/>
          </w:tcPr>
          <w:p w:rsidR="00892422" w:rsidRDefault="00892422" w:rsidP="00892422">
            <w:pPr>
              <w:spacing w:before="120" w:after="120" w:line="23" w:lineRule="atLeast"/>
              <w:rPr>
                <w:b/>
                <w:sz w:val="24"/>
                <w:szCs w:val="24"/>
              </w:rPr>
            </w:pPr>
            <w:r>
              <w:rPr>
                <w:b/>
                <w:sz w:val="24"/>
                <w:szCs w:val="24"/>
              </w:rPr>
              <w:t>Professor Liz Burd</w:t>
            </w:r>
          </w:p>
        </w:tc>
      </w:tr>
      <w:tr w:rsidR="00892422" w:rsidTr="00892422">
        <w:tc>
          <w:tcPr>
            <w:tcW w:w="4219" w:type="dxa"/>
            <w:shd w:val="clear" w:color="auto" w:fill="D9D9D9" w:themeFill="background1" w:themeFillShade="D9"/>
          </w:tcPr>
          <w:p w:rsidR="00892422" w:rsidRDefault="00892422" w:rsidP="00831F50">
            <w:pPr>
              <w:spacing w:before="120" w:after="120" w:line="23" w:lineRule="atLeast"/>
              <w:rPr>
                <w:b/>
                <w:sz w:val="24"/>
                <w:szCs w:val="24"/>
              </w:rPr>
            </w:pPr>
            <w:r>
              <w:rPr>
                <w:b/>
                <w:sz w:val="24"/>
                <w:szCs w:val="24"/>
              </w:rPr>
              <w:t>Deputy Chair</w:t>
            </w:r>
          </w:p>
        </w:tc>
        <w:tc>
          <w:tcPr>
            <w:tcW w:w="5103" w:type="dxa"/>
            <w:shd w:val="clear" w:color="auto" w:fill="D9D9D9" w:themeFill="background1" w:themeFillShade="D9"/>
          </w:tcPr>
          <w:p w:rsidR="00892422" w:rsidRDefault="00892422" w:rsidP="00831F50">
            <w:pPr>
              <w:spacing w:before="120" w:after="120" w:line="23" w:lineRule="atLeast"/>
              <w:rPr>
                <w:b/>
                <w:sz w:val="24"/>
                <w:szCs w:val="24"/>
              </w:rPr>
            </w:pPr>
          </w:p>
        </w:tc>
      </w:tr>
      <w:tr w:rsidR="00892422" w:rsidTr="00892422">
        <w:tc>
          <w:tcPr>
            <w:tcW w:w="4219" w:type="dxa"/>
          </w:tcPr>
          <w:p w:rsidR="00892422" w:rsidRDefault="00892422" w:rsidP="00831F50">
            <w:pPr>
              <w:spacing w:before="120" w:after="120" w:line="23" w:lineRule="atLeast"/>
              <w:rPr>
                <w:b/>
                <w:sz w:val="24"/>
                <w:szCs w:val="24"/>
              </w:rPr>
            </w:pPr>
            <w:r w:rsidRPr="00892422">
              <w:rPr>
                <w:b/>
                <w:sz w:val="24"/>
                <w:szCs w:val="24"/>
              </w:rPr>
              <w:t>Pro Vice Chancellor Internatio</w:t>
            </w:r>
            <w:r>
              <w:rPr>
                <w:b/>
                <w:sz w:val="24"/>
                <w:szCs w:val="24"/>
              </w:rPr>
              <w:t>nal &amp; Advancement</w:t>
            </w:r>
          </w:p>
        </w:tc>
        <w:tc>
          <w:tcPr>
            <w:tcW w:w="5103" w:type="dxa"/>
          </w:tcPr>
          <w:p w:rsidR="00892422" w:rsidRDefault="00E852E2" w:rsidP="00E852E2">
            <w:pPr>
              <w:spacing w:before="120" w:after="120" w:line="23" w:lineRule="atLeast"/>
              <w:rPr>
                <w:b/>
                <w:sz w:val="24"/>
                <w:szCs w:val="24"/>
              </w:rPr>
            </w:pPr>
            <w:r>
              <w:rPr>
                <w:b/>
                <w:sz w:val="24"/>
                <w:szCs w:val="24"/>
              </w:rPr>
              <w:t xml:space="preserve">Professor </w:t>
            </w:r>
            <w:r w:rsidR="00892422">
              <w:rPr>
                <w:b/>
                <w:sz w:val="24"/>
                <w:szCs w:val="24"/>
              </w:rPr>
              <w:t>Winnie Eley</w:t>
            </w:r>
          </w:p>
        </w:tc>
      </w:tr>
      <w:tr w:rsidR="00892422" w:rsidTr="00892422">
        <w:tc>
          <w:tcPr>
            <w:tcW w:w="4219" w:type="dxa"/>
            <w:shd w:val="clear" w:color="auto" w:fill="D9D9D9" w:themeFill="background1" w:themeFillShade="D9"/>
          </w:tcPr>
          <w:p w:rsidR="00892422" w:rsidRDefault="00892422" w:rsidP="00892422">
            <w:pPr>
              <w:spacing w:before="120" w:after="120" w:line="23" w:lineRule="atLeast"/>
              <w:rPr>
                <w:b/>
                <w:sz w:val="24"/>
                <w:szCs w:val="24"/>
              </w:rPr>
            </w:pPr>
            <w:r>
              <w:rPr>
                <w:b/>
                <w:sz w:val="24"/>
                <w:szCs w:val="24"/>
              </w:rPr>
              <w:t xml:space="preserve">Other Members </w:t>
            </w:r>
          </w:p>
        </w:tc>
        <w:tc>
          <w:tcPr>
            <w:tcW w:w="5103" w:type="dxa"/>
            <w:shd w:val="clear" w:color="auto" w:fill="D9D9D9" w:themeFill="background1" w:themeFillShade="D9"/>
          </w:tcPr>
          <w:p w:rsidR="00892422" w:rsidRDefault="00892422" w:rsidP="00831F50">
            <w:pPr>
              <w:spacing w:before="120" w:after="120" w:line="23" w:lineRule="atLeast"/>
              <w:rPr>
                <w:b/>
                <w:sz w:val="24"/>
                <w:szCs w:val="24"/>
              </w:rPr>
            </w:pPr>
          </w:p>
        </w:tc>
      </w:tr>
      <w:tr w:rsidR="00892422" w:rsidRPr="002653A6" w:rsidTr="00831F50">
        <w:tc>
          <w:tcPr>
            <w:tcW w:w="4219" w:type="dxa"/>
          </w:tcPr>
          <w:p w:rsidR="00892422" w:rsidRDefault="00892422" w:rsidP="00892422">
            <w:pPr>
              <w:spacing w:before="60" w:after="60" w:line="23" w:lineRule="atLeast"/>
              <w:rPr>
                <w:b/>
                <w:sz w:val="24"/>
                <w:szCs w:val="24"/>
              </w:rPr>
            </w:pPr>
            <w:r w:rsidRPr="00892422">
              <w:rPr>
                <w:b/>
                <w:sz w:val="24"/>
                <w:szCs w:val="24"/>
              </w:rPr>
              <w:t>PVC Education and Arts</w:t>
            </w:r>
          </w:p>
        </w:tc>
        <w:tc>
          <w:tcPr>
            <w:tcW w:w="5103" w:type="dxa"/>
          </w:tcPr>
          <w:p w:rsidR="00892422" w:rsidRPr="002653A6" w:rsidRDefault="00892422" w:rsidP="00892422">
            <w:pPr>
              <w:spacing w:before="60" w:after="60" w:line="23" w:lineRule="atLeast"/>
              <w:rPr>
                <w:b/>
                <w:sz w:val="24"/>
                <w:szCs w:val="24"/>
              </w:rPr>
            </w:pPr>
            <w:r>
              <w:rPr>
                <w:b/>
                <w:sz w:val="24"/>
                <w:szCs w:val="24"/>
              </w:rPr>
              <w:t>Professor John Germov</w:t>
            </w:r>
          </w:p>
        </w:tc>
      </w:tr>
      <w:tr w:rsidR="00892422" w:rsidTr="00892422">
        <w:tc>
          <w:tcPr>
            <w:tcW w:w="4219" w:type="dxa"/>
            <w:shd w:val="clear" w:color="auto" w:fill="auto"/>
          </w:tcPr>
          <w:p w:rsidR="00892422" w:rsidRDefault="00892422" w:rsidP="00892422">
            <w:pPr>
              <w:spacing w:before="60" w:after="60" w:line="23" w:lineRule="atLeast"/>
              <w:rPr>
                <w:b/>
                <w:sz w:val="24"/>
                <w:szCs w:val="24"/>
              </w:rPr>
            </w:pPr>
            <w:r w:rsidRPr="00892422">
              <w:rPr>
                <w:b/>
                <w:sz w:val="24"/>
                <w:szCs w:val="24"/>
              </w:rPr>
              <w:t>Director, Centre for Teaching &amp; Learning</w:t>
            </w:r>
          </w:p>
        </w:tc>
        <w:tc>
          <w:tcPr>
            <w:tcW w:w="5103" w:type="dxa"/>
            <w:shd w:val="clear" w:color="auto" w:fill="auto"/>
          </w:tcPr>
          <w:p w:rsidR="00892422" w:rsidRDefault="009026FE" w:rsidP="00892422">
            <w:pPr>
              <w:spacing w:before="60" w:after="60" w:line="23" w:lineRule="atLeast"/>
              <w:rPr>
                <w:b/>
                <w:sz w:val="24"/>
                <w:szCs w:val="24"/>
              </w:rPr>
            </w:pPr>
            <w:r>
              <w:rPr>
                <w:b/>
                <w:sz w:val="24"/>
                <w:szCs w:val="24"/>
              </w:rPr>
              <w:t>Professor Carol Miles</w:t>
            </w:r>
          </w:p>
        </w:tc>
      </w:tr>
      <w:tr w:rsidR="00892422" w:rsidTr="00892422">
        <w:tc>
          <w:tcPr>
            <w:tcW w:w="4219" w:type="dxa"/>
            <w:shd w:val="clear" w:color="auto" w:fill="auto"/>
          </w:tcPr>
          <w:p w:rsidR="00892422" w:rsidRDefault="00892422" w:rsidP="00892422">
            <w:pPr>
              <w:spacing w:before="60" w:after="60" w:line="23" w:lineRule="atLeast"/>
              <w:rPr>
                <w:b/>
                <w:sz w:val="24"/>
                <w:szCs w:val="24"/>
              </w:rPr>
            </w:pPr>
            <w:r w:rsidRPr="00892422">
              <w:rPr>
                <w:b/>
                <w:sz w:val="24"/>
                <w:szCs w:val="24"/>
              </w:rPr>
              <w:t>Academic Registrar</w:t>
            </w:r>
          </w:p>
        </w:tc>
        <w:tc>
          <w:tcPr>
            <w:tcW w:w="5103" w:type="dxa"/>
            <w:shd w:val="clear" w:color="auto" w:fill="auto"/>
          </w:tcPr>
          <w:p w:rsidR="00892422" w:rsidRDefault="009026FE" w:rsidP="00892422">
            <w:pPr>
              <w:spacing w:before="60" w:after="60" w:line="23" w:lineRule="atLeast"/>
              <w:rPr>
                <w:b/>
                <w:sz w:val="24"/>
                <w:szCs w:val="24"/>
              </w:rPr>
            </w:pPr>
            <w:r>
              <w:rPr>
                <w:b/>
                <w:sz w:val="24"/>
                <w:szCs w:val="24"/>
              </w:rPr>
              <w:t>Ms Gail White</w:t>
            </w:r>
          </w:p>
        </w:tc>
      </w:tr>
      <w:tr w:rsidR="00892422" w:rsidTr="00892422">
        <w:tc>
          <w:tcPr>
            <w:tcW w:w="4219" w:type="dxa"/>
            <w:shd w:val="clear" w:color="auto" w:fill="auto"/>
          </w:tcPr>
          <w:p w:rsidR="00892422" w:rsidRDefault="00892422" w:rsidP="00892422">
            <w:pPr>
              <w:spacing w:before="60" w:after="60" w:line="23" w:lineRule="atLeast"/>
              <w:rPr>
                <w:b/>
                <w:sz w:val="24"/>
                <w:szCs w:val="24"/>
              </w:rPr>
            </w:pPr>
            <w:r w:rsidRPr="00892422">
              <w:rPr>
                <w:b/>
                <w:sz w:val="24"/>
                <w:szCs w:val="24"/>
              </w:rPr>
              <w:t>University Librarian</w:t>
            </w:r>
          </w:p>
        </w:tc>
        <w:tc>
          <w:tcPr>
            <w:tcW w:w="5103" w:type="dxa"/>
            <w:shd w:val="clear" w:color="auto" w:fill="auto"/>
          </w:tcPr>
          <w:p w:rsidR="00892422" w:rsidRDefault="00E852E2" w:rsidP="00892422">
            <w:pPr>
              <w:spacing w:before="60" w:after="60" w:line="23" w:lineRule="atLeast"/>
              <w:rPr>
                <w:b/>
                <w:sz w:val="24"/>
                <w:szCs w:val="24"/>
              </w:rPr>
            </w:pPr>
            <w:r>
              <w:rPr>
                <w:b/>
                <w:sz w:val="24"/>
                <w:szCs w:val="24"/>
              </w:rPr>
              <w:t>Mr Greg Anderson</w:t>
            </w:r>
          </w:p>
        </w:tc>
      </w:tr>
      <w:tr w:rsidR="00892422" w:rsidTr="00892422">
        <w:tc>
          <w:tcPr>
            <w:tcW w:w="4219" w:type="dxa"/>
            <w:shd w:val="clear" w:color="auto" w:fill="auto"/>
          </w:tcPr>
          <w:p w:rsidR="00892422" w:rsidRDefault="00892422" w:rsidP="00892422">
            <w:pPr>
              <w:spacing w:before="60" w:after="60" w:line="23" w:lineRule="atLeast"/>
              <w:rPr>
                <w:b/>
                <w:sz w:val="24"/>
                <w:szCs w:val="24"/>
              </w:rPr>
            </w:pPr>
            <w:r w:rsidRPr="00892422">
              <w:rPr>
                <w:b/>
                <w:sz w:val="24"/>
                <w:szCs w:val="24"/>
              </w:rPr>
              <w:t xml:space="preserve">CEO, </w:t>
            </w:r>
            <w:proofErr w:type="spellStart"/>
            <w:r w:rsidRPr="00892422">
              <w:rPr>
                <w:b/>
                <w:sz w:val="24"/>
                <w:szCs w:val="24"/>
              </w:rPr>
              <w:t>UoNS</w:t>
            </w:r>
            <w:proofErr w:type="spellEnd"/>
          </w:p>
        </w:tc>
        <w:tc>
          <w:tcPr>
            <w:tcW w:w="5103" w:type="dxa"/>
            <w:shd w:val="clear" w:color="auto" w:fill="auto"/>
          </w:tcPr>
          <w:p w:rsidR="00892422" w:rsidRDefault="009026FE" w:rsidP="00892422">
            <w:pPr>
              <w:spacing w:before="60" w:after="60" w:line="23" w:lineRule="atLeast"/>
              <w:rPr>
                <w:b/>
                <w:sz w:val="24"/>
                <w:szCs w:val="24"/>
              </w:rPr>
            </w:pPr>
            <w:r>
              <w:rPr>
                <w:b/>
                <w:sz w:val="24"/>
                <w:szCs w:val="24"/>
              </w:rPr>
              <w:t>Ms Jennifer Smith (Acting)</w:t>
            </w:r>
          </w:p>
        </w:tc>
      </w:tr>
      <w:tr w:rsidR="00892422" w:rsidTr="00892422">
        <w:tc>
          <w:tcPr>
            <w:tcW w:w="4219" w:type="dxa"/>
            <w:shd w:val="clear" w:color="auto" w:fill="auto"/>
          </w:tcPr>
          <w:p w:rsidR="00892422" w:rsidRDefault="00892422" w:rsidP="00892422">
            <w:pPr>
              <w:spacing w:before="60" w:after="60" w:line="23" w:lineRule="atLeast"/>
              <w:rPr>
                <w:b/>
                <w:sz w:val="24"/>
                <w:szCs w:val="24"/>
              </w:rPr>
            </w:pPr>
            <w:r>
              <w:rPr>
                <w:b/>
                <w:sz w:val="24"/>
                <w:szCs w:val="24"/>
              </w:rPr>
              <w:t>Associate Director, IT Services</w:t>
            </w:r>
          </w:p>
        </w:tc>
        <w:tc>
          <w:tcPr>
            <w:tcW w:w="5103" w:type="dxa"/>
            <w:shd w:val="clear" w:color="auto" w:fill="auto"/>
          </w:tcPr>
          <w:p w:rsidR="00892422" w:rsidRPr="00BF6B31" w:rsidRDefault="00892422" w:rsidP="00892422">
            <w:pPr>
              <w:spacing w:before="60" w:after="60" w:line="23" w:lineRule="atLeast"/>
              <w:rPr>
                <w:b/>
                <w:color w:val="C0504D" w:themeColor="accent2"/>
                <w:sz w:val="24"/>
                <w:szCs w:val="24"/>
              </w:rPr>
            </w:pPr>
            <w:r w:rsidRPr="00892422">
              <w:rPr>
                <w:b/>
                <w:sz w:val="24"/>
                <w:szCs w:val="24"/>
              </w:rPr>
              <w:t xml:space="preserve">Mr Mark </w:t>
            </w:r>
            <w:proofErr w:type="spellStart"/>
            <w:r w:rsidRPr="00892422">
              <w:rPr>
                <w:b/>
                <w:sz w:val="24"/>
                <w:szCs w:val="24"/>
              </w:rPr>
              <w:t>Jeffreys</w:t>
            </w:r>
            <w:proofErr w:type="spellEnd"/>
          </w:p>
        </w:tc>
      </w:tr>
      <w:tr w:rsidR="00892422" w:rsidTr="00892422">
        <w:tc>
          <w:tcPr>
            <w:tcW w:w="4219" w:type="dxa"/>
            <w:shd w:val="clear" w:color="auto" w:fill="auto"/>
          </w:tcPr>
          <w:p w:rsidR="00892422" w:rsidRDefault="00892422" w:rsidP="00892422">
            <w:pPr>
              <w:spacing w:before="60" w:after="60" w:line="23" w:lineRule="atLeast"/>
              <w:rPr>
                <w:b/>
                <w:sz w:val="24"/>
                <w:szCs w:val="24"/>
              </w:rPr>
            </w:pPr>
            <w:r w:rsidRPr="00892422">
              <w:rPr>
                <w:sz w:val="24"/>
                <w:szCs w:val="24"/>
              </w:rPr>
              <w:t>Manager, Strategic Planning, Infrastructure &amp; Facilities Services</w:t>
            </w:r>
          </w:p>
        </w:tc>
        <w:tc>
          <w:tcPr>
            <w:tcW w:w="5103" w:type="dxa"/>
            <w:shd w:val="clear" w:color="auto" w:fill="auto"/>
          </w:tcPr>
          <w:p w:rsidR="00892422" w:rsidRPr="00892422" w:rsidRDefault="009026FE" w:rsidP="00892422">
            <w:pPr>
              <w:spacing w:before="60" w:after="60" w:line="23" w:lineRule="atLeast"/>
              <w:rPr>
                <w:b/>
                <w:sz w:val="24"/>
                <w:szCs w:val="24"/>
              </w:rPr>
            </w:pPr>
            <w:r>
              <w:rPr>
                <w:b/>
                <w:sz w:val="24"/>
                <w:szCs w:val="24"/>
              </w:rPr>
              <w:t>Ms Donna Farragher</w:t>
            </w:r>
          </w:p>
        </w:tc>
      </w:tr>
      <w:tr w:rsidR="00892422" w:rsidTr="00892422">
        <w:tc>
          <w:tcPr>
            <w:tcW w:w="4219" w:type="dxa"/>
            <w:shd w:val="clear" w:color="auto" w:fill="D9D9D9" w:themeFill="background1" w:themeFillShade="D9"/>
          </w:tcPr>
          <w:p w:rsidR="00892422" w:rsidRDefault="00892422" w:rsidP="00831F50">
            <w:pPr>
              <w:spacing w:before="120" w:after="120" w:line="23" w:lineRule="atLeast"/>
              <w:rPr>
                <w:b/>
                <w:sz w:val="24"/>
                <w:szCs w:val="24"/>
              </w:rPr>
            </w:pPr>
            <w:r>
              <w:rPr>
                <w:b/>
                <w:sz w:val="24"/>
                <w:szCs w:val="24"/>
              </w:rPr>
              <w:t>By Invitation</w:t>
            </w:r>
          </w:p>
        </w:tc>
        <w:tc>
          <w:tcPr>
            <w:tcW w:w="5103" w:type="dxa"/>
            <w:shd w:val="clear" w:color="auto" w:fill="D9D9D9" w:themeFill="background1" w:themeFillShade="D9"/>
          </w:tcPr>
          <w:p w:rsidR="00892422" w:rsidRPr="00BF6B31" w:rsidRDefault="00892422" w:rsidP="00831F50">
            <w:pPr>
              <w:spacing w:before="120" w:after="120" w:line="23" w:lineRule="atLeast"/>
              <w:rPr>
                <w:b/>
                <w:color w:val="C0504D" w:themeColor="accent2"/>
                <w:sz w:val="24"/>
                <w:szCs w:val="24"/>
              </w:rPr>
            </w:pPr>
          </w:p>
        </w:tc>
      </w:tr>
      <w:tr w:rsidR="00892422" w:rsidTr="00892422">
        <w:tc>
          <w:tcPr>
            <w:tcW w:w="4219" w:type="dxa"/>
            <w:shd w:val="clear" w:color="auto" w:fill="auto"/>
          </w:tcPr>
          <w:p w:rsidR="00892422" w:rsidRDefault="00892422" w:rsidP="00831F50">
            <w:pPr>
              <w:spacing w:before="120" w:after="120" w:line="23" w:lineRule="atLeast"/>
              <w:rPr>
                <w:b/>
                <w:sz w:val="24"/>
                <w:szCs w:val="24"/>
              </w:rPr>
            </w:pPr>
            <w:r>
              <w:rPr>
                <w:b/>
                <w:sz w:val="24"/>
                <w:szCs w:val="24"/>
              </w:rPr>
              <w:t>A/Manager, Strategic Governance – Resources Division</w:t>
            </w:r>
          </w:p>
        </w:tc>
        <w:tc>
          <w:tcPr>
            <w:tcW w:w="5103" w:type="dxa"/>
            <w:shd w:val="clear" w:color="auto" w:fill="auto"/>
          </w:tcPr>
          <w:p w:rsidR="00892422" w:rsidRPr="00BF6B31" w:rsidRDefault="00892422" w:rsidP="00831F50">
            <w:pPr>
              <w:spacing w:before="120" w:after="120" w:line="23" w:lineRule="atLeast"/>
              <w:rPr>
                <w:b/>
                <w:color w:val="C0504D" w:themeColor="accent2"/>
                <w:sz w:val="24"/>
                <w:szCs w:val="24"/>
              </w:rPr>
            </w:pPr>
            <w:r w:rsidRPr="00892422">
              <w:rPr>
                <w:b/>
                <w:sz w:val="24"/>
                <w:szCs w:val="24"/>
              </w:rPr>
              <w:t>Ms Barbara Morrow</w:t>
            </w:r>
          </w:p>
        </w:tc>
      </w:tr>
      <w:tr w:rsidR="00892422" w:rsidTr="00892422">
        <w:tc>
          <w:tcPr>
            <w:tcW w:w="4219" w:type="dxa"/>
            <w:shd w:val="clear" w:color="auto" w:fill="D9D9D9" w:themeFill="background1" w:themeFillShade="D9"/>
          </w:tcPr>
          <w:p w:rsidR="00892422" w:rsidRDefault="00892422" w:rsidP="00831F50">
            <w:pPr>
              <w:spacing w:before="120" w:after="120" w:line="23" w:lineRule="atLeast"/>
              <w:rPr>
                <w:b/>
                <w:sz w:val="24"/>
                <w:szCs w:val="24"/>
              </w:rPr>
            </w:pPr>
            <w:r>
              <w:rPr>
                <w:b/>
                <w:sz w:val="24"/>
                <w:szCs w:val="24"/>
              </w:rPr>
              <w:t>Advisory Group Support</w:t>
            </w:r>
          </w:p>
        </w:tc>
        <w:tc>
          <w:tcPr>
            <w:tcW w:w="5103" w:type="dxa"/>
            <w:shd w:val="clear" w:color="auto" w:fill="D9D9D9" w:themeFill="background1" w:themeFillShade="D9"/>
          </w:tcPr>
          <w:p w:rsidR="00892422" w:rsidRPr="00BF6B31" w:rsidRDefault="00892422" w:rsidP="00831F50">
            <w:pPr>
              <w:spacing w:before="120" w:after="120" w:line="23" w:lineRule="atLeast"/>
              <w:rPr>
                <w:b/>
                <w:color w:val="C0504D" w:themeColor="accent2"/>
                <w:sz w:val="24"/>
                <w:szCs w:val="24"/>
              </w:rPr>
            </w:pPr>
          </w:p>
        </w:tc>
      </w:tr>
      <w:tr w:rsidR="00892422" w:rsidTr="00892422">
        <w:tc>
          <w:tcPr>
            <w:tcW w:w="4219" w:type="dxa"/>
            <w:shd w:val="clear" w:color="auto" w:fill="auto"/>
          </w:tcPr>
          <w:p w:rsidR="00892422" w:rsidRDefault="00892422" w:rsidP="00831F50">
            <w:pPr>
              <w:spacing w:before="120" w:after="120" w:line="23" w:lineRule="atLeast"/>
              <w:rPr>
                <w:b/>
                <w:sz w:val="24"/>
                <w:szCs w:val="24"/>
              </w:rPr>
            </w:pPr>
            <w:r>
              <w:rPr>
                <w:b/>
                <w:sz w:val="24"/>
                <w:szCs w:val="24"/>
              </w:rPr>
              <w:t>Advisory Group Secretary</w:t>
            </w:r>
          </w:p>
        </w:tc>
        <w:tc>
          <w:tcPr>
            <w:tcW w:w="5103" w:type="dxa"/>
            <w:shd w:val="clear" w:color="auto" w:fill="auto"/>
          </w:tcPr>
          <w:p w:rsidR="00892422" w:rsidRPr="00BF6B31" w:rsidRDefault="003A2A55" w:rsidP="00892422">
            <w:pPr>
              <w:spacing w:before="120" w:after="120" w:line="23" w:lineRule="atLeast"/>
              <w:rPr>
                <w:b/>
                <w:sz w:val="24"/>
                <w:szCs w:val="24"/>
              </w:rPr>
            </w:pPr>
            <w:r>
              <w:rPr>
                <w:b/>
                <w:sz w:val="24"/>
                <w:szCs w:val="24"/>
              </w:rPr>
              <w:t>Ms Fiona Dyke</w:t>
            </w:r>
            <w:bookmarkStart w:id="0" w:name="_GoBack"/>
            <w:bookmarkEnd w:id="0"/>
          </w:p>
        </w:tc>
      </w:tr>
    </w:tbl>
    <w:p w:rsidR="00C10DFD" w:rsidRPr="00217E94" w:rsidRDefault="00892422" w:rsidP="00892422">
      <w:pPr>
        <w:spacing w:after="0"/>
        <w:rPr>
          <w:sz w:val="24"/>
          <w:szCs w:val="24"/>
        </w:rPr>
      </w:pPr>
      <w:r w:rsidRPr="00892422">
        <w:rPr>
          <w:sz w:val="24"/>
          <w:szCs w:val="24"/>
        </w:rPr>
        <w:tab/>
      </w:r>
    </w:p>
    <w:sectPr w:rsidR="00C10DFD" w:rsidRPr="00217E9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B87" w:rsidRDefault="00F33B87" w:rsidP="00AB0B16">
      <w:pPr>
        <w:spacing w:after="0" w:line="240" w:lineRule="auto"/>
      </w:pPr>
      <w:r>
        <w:separator/>
      </w:r>
    </w:p>
  </w:endnote>
  <w:endnote w:type="continuationSeparator" w:id="0">
    <w:p w:rsidR="00F33B87" w:rsidRDefault="00F33B87" w:rsidP="00AB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699416"/>
      <w:docPartObj>
        <w:docPartGallery w:val="Page Numbers (Bottom of Page)"/>
        <w:docPartUnique/>
      </w:docPartObj>
    </w:sdtPr>
    <w:sdtEndPr>
      <w:rPr>
        <w:noProof/>
      </w:rPr>
    </w:sdtEndPr>
    <w:sdtContent>
      <w:p w:rsidR="00F56077" w:rsidRDefault="00F01A35" w:rsidP="005631B6">
        <w:pPr>
          <w:pStyle w:val="Footer"/>
        </w:pPr>
        <w:r>
          <w:rPr>
            <w:sz w:val="16"/>
            <w:szCs w:val="16"/>
          </w:rPr>
          <w:fldChar w:fldCharType="begin"/>
        </w:r>
        <w:r>
          <w:rPr>
            <w:sz w:val="16"/>
            <w:szCs w:val="16"/>
          </w:rPr>
          <w:instrText xml:space="preserve"> FILENAME  \* Lower \p  \* MERGEFORMAT </w:instrText>
        </w:r>
        <w:r>
          <w:rPr>
            <w:sz w:val="16"/>
            <w:szCs w:val="16"/>
          </w:rPr>
          <w:fldChar w:fldCharType="separate"/>
        </w:r>
        <w:r w:rsidR="00B507B7">
          <w:rPr>
            <w:noProof/>
            <w:sz w:val="16"/>
            <w:szCs w:val="16"/>
          </w:rPr>
          <w:t>s:\coo\strategic governance office\asset managment governance\tor\education am advisory group terms of reference v3_17 october.docx</w:t>
        </w:r>
        <w:r>
          <w:rPr>
            <w:sz w:val="16"/>
            <w:szCs w:val="16"/>
          </w:rPr>
          <w:fldChar w:fldCharType="end"/>
        </w:r>
        <w:r w:rsidR="009126F9">
          <w:tab/>
        </w:r>
        <w:r w:rsidR="009126F9">
          <w:tab/>
        </w:r>
        <w:r w:rsidR="00F56077">
          <w:fldChar w:fldCharType="begin"/>
        </w:r>
        <w:r w:rsidR="00F56077">
          <w:instrText xml:space="preserve"> PAGE   \* MERGEFORMAT </w:instrText>
        </w:r>
        <w:r w:rsidR="00F56077">
          <w:fldChar w:fldCharType="separate"/>
        </w:r>
        <w:r w:rsidR="00B507B7">
          <w:rPr>
            <w:noProof/>
          </w:rPr>
          <w:t>3</w:t>
        </w:r>
        <w:r w:rsidR="00F56077">
          <w:rPr>
            <w:noProof/>
          </w:rPr>
          <w:fldChar w:fldCharType="end"/>
        </w:r>
      </w:p>
    </w:sdtContent>
  </w:sdt>
  <w:p w:rsidR="00AB0B16" w:rsidRDefault="00AB0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B87" w:rsidRDefault="00F33B87" w:rsidP="00AB0B16">
      <w:pPr>
        <w:spacing w:after="0" w:line="240" w:lineRule="auto"/>
      </w:pPr>
      <w:r>
        <w:separator/>
      </w:r>
    </w:p>
  </w:footnote>
  <w:footnote w:type="continuationSeparator" w:id="0">
    <w:p w:rsidR="00F33B87" w:rsidRDefault="00F33B87" w:rsidP="00AB0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007685"/>
      <w:docPartObj>
        <w:docPartGallery w:val="Watermarks"/>
        <w:docPartUnique/>
      </w:docPartObj>
    </w:sdtPr>
    <w:sdtEndPr/>
    <w:sdtContent>
      <w:p w:rsidR="00AB0B16" w:rsidRDefault="00B507B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1206"/>
    <w:multiLevelType w:val="multilevel"/>
    <w:tmpl w:val="9B800E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E6"/>
    <w:rsid w:val="00022FAD"/>
    <w:rsid w:val="0003297E"/>
    <w:rsid w:val="00042816"/>
    <w:rsid w:val="00055A5A"/>
    <w:rsid w:val="000677B0"/>
    <w:rsid w:val="00093557"/>
    <w:rsid w:val="000C02BE"/>
    <w:rsid w:val="000E3E20"/>
    <w:rsid w:val="000F7C1A"/>
    <w:rsid w:val="00115B91"/>
    <w:rsid w:val="00132FDF"/>
    <w:rsid w:val="00135F85"/>
    <w:rsid w:val="001410E7"/>
    <w:rsid w:val="0019117A"/>
    <w:rsid w:val="001A6B86"/>
    <w:rsid w:val="001B6981"/>
    <w:rsid w:val="001B6B6D"/>
    <w:rsid w:val="001E49D8"/>
    <w:rsid w:val="001E5C87"/>
    <w:rsid w:val="00217E94"/>
    <w:rsid w:val="0022090A"/>
    <w:rsid w:val="00272D03"/>
    <w:rsid w:val="002A63B6"/>
    <w:rsid w:val="002A7AE2"/>
    <w:rsid w:val="002C1EE5"/>
    <w:rsid w:val="002F0C57"/>
    <w:rsid w:val="0035304A"/>
    <w:rsid w:val="003A2A55"/>
    <w:rsid w:val="00406311"/>
    <w:rsid w:val="00413F75"/>
    <w:rsid w:val="004210C1"/>
    <w:rsid w:val="0046185D"/>
    <w:rsid w:val="00491776"/>
    <w:rsid w:val="00494966"/>
    <w:rsid w:val="004B1D9D"/>
    <w:rsid w:val="004B6750"/>
    <w:rsid w:val="004C5733"/>
    <w:rsid w:val="004C5B53"/>
    <w:rsid w:val="0053687D"/>
    <w:rsid w:val="00540BE6"/>
    <w:rsid w:val="00555038"/>
    <w:rsid w:val="00562375"/>
    <w:rsid w:val="005631B6"/>
    <w:rsid w:val="00582EFD"/>
    <w:rsid w:val="005965FB"/>
    <w:rsid w:val="005B311D"/>
    <w:rsid w:val="005C37D3"/>
    <w:rsid w:val="005D4F43"/>
    <w:rsid w:val="005E4C58"/>
    <w:rsid w:val="006031F5"/>
    <w:rsid w:val="00606C90"/>
    <w:rsid w:val="006311FE"/>
    <w:rsid w:val="00655C24"/>
    <w:rsid w:val="0066498B"/>
    <w:rsid w:val="00672929"/>
    <w:rsid w:val="00672E61"/>
    <w:rsid w:val="006A2902"/>
    <w:rsid w:val="006B162B"/>
    <w:rsid w:val="0072332F"/>
    <w:rsid w:val="00723F01"/>
    <w:rsid w:val="00772A38"/>
    <w:rsid w:val="0078472D"/>
    <w:rsid w:val="007A39EB"/>
    <w:rsid w:val="007B2E88"/>
    <w:rsid w:val="007C0C75"/>
    <w:rsid w:val="00802F65"/>
    <w:rsid w:val="008225C3"/>
    <w:rsid w:val="0082261E"/>
    <w:rsid w:val="0085551D"/>
    <w:rsid w:val="00862745"/>
    <w:rsid w:val="00870166"/>
    <w:rsid w:val="008732C2"/>
    <w:rsid w:val="00890E86"/>
    <w:rsid w:val="00892422"/>
    <w:rsid w:val="0089534D"/>
    <w:rsid w:val="008B039A"/>
    <w:rsid w:val="008D241F"/>
    <w:rsid w:val="008F5EE5"/>
    <w:rsid w:val="009026FE"/>
    <w:rsid w:val="009126F9"/>
    <w:rsid w:val="00924A80"/>
    <w:rsid w:val="00944CDF"/>
    <w:rsid w:val="0099402B"/>
    <w:rsid w:val="00A12886"/>
    <w:rsid w:val="00A3368D"/>
    <w:rsid w:val="00A558F4"/>
    <w:rsid w:val="00A63BA7"/>
    <w:rsid w:val="00A80703"/>
    <w:rsid w:val="00A86344"/>
    <w:rsid w:val="00A90174"/>
    <w:rsid w:val="00A9775F"/>
    <w:rsid w:val="00AA7414"/>
    <w:rsid w:val="00AA7FAB"/>
    <w:rsid w:val="00AB0B16"/>
    <w:rsid w:val="00AB4B6C"/>
    <w:rsid w:val="00AB5F22"/>
    <w:rsid w:val="00AC2EF2"/>
    <w:rsid w:val="00AC3564"/>
    <w:rsid w:val="00AD074B"/>
    <w:rsid w:val="00AE6589"/>
    <w:rsid w:val="00AF2CA4"/>
    <w:rsid w:val="00B0083D"/>
    <w:rsid w:val="00B507B7"/>
    <w:rsid w:val="00B5723E"/>
    <w:rsid w:val="00B67BF4"/>
    <w:rsid w:val="00B933CB"/>
    <w:rsid w:val="00BA1D03"/>
    <w:rsid w:val="00BE318D"/>
    <w:rsid w:val="00C03B26"/>
    <w:rsid w:val="00C0451A"/>
    <w:rsid w:val="00C06094"/>
    <w:rsid w:val="00C10DFD"/>
    <w:rsid w:val="00C279CF"/>
    <w:rsid w:val="00C522B8"/>
    <w:rsid w:val="00C57522"/>
    <w:rsid w:val="00C669E8"/>
    <w:rsid w:val="00C94199"/>
    <w:rsid w:val="00CA3C7C"/>
    <w:rsid w:val="00CD5179"/>
    <w:rsid w:val="00D210B9"/>
    <w:rsid w:val="00D216B5"/>
    <w:rsid w:val="00D24E6E"/>
    <w:rsid w:val="00D408F7"/>
    <w:rsid w:val="00D441F9"/>
    <w:rsid w:val="00D477F3"/>
    <w:rsid w:val="00D73B42"/>
    <w:rsid w:val="00D9030D"/>
    <w:rsid w:val="00DA2523"/>
    <w:rsid w:val="00DD510B"/>
    <w:rsid w:val="00DD5312"/>
    <w:rsid w:val="00E00FEE"/>
    <w:rsid w:val="00E14234"/>
    <w:rsid w:val="00E16128"/>
    <w:rsid w:val="00E81DEC"/>
    <w:rsid w:val="00E841EF"/>
    <w:rsid w:val="00E852E2"/>
    <w:rsid w:val="00EC2C89"/>
    <w:rsid w:val="00EE44B9"/>
    <w:rsid w:val="00EE58B6"/>
    <w:rsid w:val="00EF2341"/>
    <w:rsid w:val="00EF7446"/>
    <w:rsid w:val="00F01A35"/>
    <w:rsid w:val="00F04B09"/>
    <w:rsid w:val="00F33B87"/>
    <w:rsid w:val="00F34789"/>
    <w:rsid w:val="00F34B9D"/>
    <w:rsid w:val="00F34EC1"/>
    <w:rsid w:val="00F41D83"/>
    <w:rsid w:val="00F42AFA"/>
    <w:rsid w:val="00F43036"/>
    <w:rsid w:val="00F56077"/>
    <w:rsid w:val="00F56534"/>
    <w:rsid w:val="00F6709F"/>
    <w:rsid w:val="00F77658"/>
    <w:rsid w:val="00F85754"/>
    <w:rsid w:val="00FB150B"/>
    <w:rsid w:val="00FC6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1D03"/>
    <w:pPr>
      <w:keepNext/>
      <w:widowControl w:val="0"/>
      <w:spacing w:beforeLines="50" w:before="120" w:after="120" w:line="240" w:lineRule="auto"/>
      <w:jc w:val="both"/>
      <w:outlineLvl w:val="0"/>
    </w:pPr>
    <w:rPr>
      <w:rFonts w:ascii="Calibri" w:eastAsia="Times New Roman" w:hAnsi="Calibri" w:cs="Arial"/>
      <w:b/>
      <w:snapToGrid w:val="0"/>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BE6"/>
    <w:pPr>
      <w:ind w:left="720"/>
      <w:contextualSpacing/>
    </w:pPr>
  </w:style>
  <w:style w:type="paragraph" w:styleId="Header">
    <w:name w:val="header"/>
    <w:basedOn w:val="Normal"/>
    <w:link w:val="HeaderChar"/>
    <w:uiPriority w:val="99"/>
    <w:unhideWhenUsed/>
    <w:rsid w:val="00AB0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B16"/>
  </w:style>
  <w:style w:type="paragraph" w:styleId="Footer">
    <w:name w:val="footer"/>
    <w:basedOn w:val="Normal"/>
    <w:link w:val="FooterChar"/>
    <w:uiPriority w:val="99"/>
    <w:unhideWhenUsed/>
    <w:rsid w:val="00AB0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B16"/>
  </w:style>
  <w:style w:type="table" w:styleId="TableGrid">
    <w:name w:val="Table Grid"/>
    <w:basedOn w:val="TableNormal"/>
    <w:uiPriority w:val="59"/>
    <w:rsid w:val="00AB4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70166"/>
    <w:pPr>
      <w:pBdr>
        <w:bottom w:val="single" w:sz="12" w:space="1" w:color="auto"/>
      </w:pBdr>
      <w:jc w:val="center"/>
    </w:pPr>
    <w:rPr>
      <w:b/>
      <w:sz w:val="24"/>
      <w:szCs w:val="24"/>
    </w:rPr>
  </w:style>
  <w:style w:type="character" w:customStyle="1" w:styleId="TitleChar">
    <w:name w:val="Title Char"/>
    <w:basedOn w:val="DefaultParagraphFont"/>
    <w:link w:val="Title"/>
    <w:uiPriority w:val="10"/>
    <w:rsid w:val="00870166"/>
    <w:rPr>
      <w:b/>
      <w:sz w:val="24"/>
      <w:szCs w:val="24"/>
    </w:rPr>
  </w:style>
  <w:style w:type="paragraph" w:styleId="BalloonText">
    <w:name w:val="Balloon Text"/>
    <w:basedOn w:val="Normal"/>
    <w:link w:val="BalloonTextChar"/>
    <w:uiPriority w:val="99"/>
    <w:semiHidden/>
    <w:unhideWhenUsed/>
    <w:rsid w:val="00555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38"/>
    <w:rPr>
      <w:rFonts w:ascii="Tahoma" w:hAnsi="Tahoma" w:cs="Tahoma"/>
      <w:sz w:val="16"/>
      <w:szCs w:val="16"/>
    </w:rPr>
  </w:style>
  <w:style w:type="table" w:customStyle="1" w:styleId="TableGrid1">
    <w:name w:val="Table Grid1"/>
    <w:basedOn w:val="TableNormal"/>
    <w:next w:val="TableGrid"/>
    <w:uiPriority w:val="59"/>
    <w:rsid w:val="00562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C0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72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A1D03"/>
    <w:rPr>
      <w:rFonts w:ascii="Calibri" w:eastAsia="Times New Roman" w:hAnsi="Calibri" w:cs="Arial"/>
      <w:b/>
      <w:snapToGrid w:val="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1D03"/>
    <w:pPr>
      <w:keepNext/>
      <w:widowControl w:val="0"/>
      <w:spacing w:beforeLines="50" w:before="120" w:after="120" w:line="240" w:lineRule="auto"/>
      <w:jc w:val="both"/>
      <w:outlineLvl w:val="0"/>
    </w:pPr>
    <w:rPr>
      <w:rFonts w:ascii="Calibri" w:eastAsia="Times New Roman" w:hAnsi="Calibri" w:cs="Arial"/>
      <w:b/>
      <w:snapToGrid w:val="0"/>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BE6"/>
    <w:pPr>
      <w:ind w:left="720"/>
      <w:contextualSpacing/>
    </w:pPr>
  </w:style>
  <w:style w:type="paragraph" w:styleId="Header">
    <w:name w:val="header"/>
    <w:basedOn w:val="Normal"/>
    <w:link w:val="HeaderChar"/>
    <w:uiPriority w:val="99"/>
    <w:unhideWhenUsed/>
    <w:rsid w:val="00AB0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B16"/>
  </w:style>
  <w:style w:type="paragraph" w:styleId="Footer">
    <w:name w:val="footer"/>
    <w:basedOn w:val="Normal"/>
    <w:link w:val="FooterChar"/>
    <w:uiPriority w:val="99"/>
    <w:unhideWhenUsed/>
    <w:rsid w:val="00AB0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B16"/>
  </w:style>
  <w:style w:type="table" w:styleId="TableGrid">
    <w:name w:val="Table Grid"/>
    <w:basedOn w:val="TableNormal"/>
    <w:uiPriority w:val="59"/>
    <w:rsid w:val="00AB4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70166"/>
    <w:pPr>
      <w:pBdr>
        <w:bottom w:val="single" w:sz="12" w:space="1" w:color="auto"/>
      </w:pBdr>
      <w:jc w:val="center"/>
    </w:pPr>
    <w:rPr>
      <w:b/>
      <w:sz w:val="24"/>
      <w:szCs w:val="24"/>
    </w:rPr>
  </w:style>
  <w:style w:type="character" w:customStyle="1" w:styleId="TitleChar">
    <w:name w:val="Title Char"/>
    <w:basedOn w:val="DefaultParagraphFont"/>
    <w:link w:val="Title"/>
    <w:uiPriority w:val="10"/>
    <w:rsid w:val="00870166"/>
    <w:rPr>
      <w:b/>
      <w:sz w:val="24"/>
      <w:szCs w:val="24"/>
    </w:rPr>
  </w:style>
  <w:style w:type="paragraph" w:styleId="BalloonText">
    <w:name w:val="Balloon Text"/>
    <w:basedOn w:val="Normal"/>
    <w:link w:val="BalloonTextChar"/>
    <w:uiPriority w:val="99"/>
    <w:semiHidden/>
    <w:unhideWhenUsed/>
    <w:rsid w:val="00555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38"/>
    <w:rPr>
      <w:rFonts w:ascii="Tahoma" w:hAnsi="Tahoma" w:cs="Tahoma"/>
      <w:sz w:val="16"/>
      <w:szCs w:val="16"/>
    </w:rPr>
  </w:style>
  <w:style w:type="table" w:customStyle="1" w:styleId="TableGrid1">
    <w:name w:val="Table Grid1"/>
    <w:basedOn w:val="TableNormal"/>
    <w:next w:val="TableGrid"/>
    <w:uiPriority w:val="59"/>
    <w:rsid w:val="00562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C0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72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A1D03"/>
    <w:rPr>
      <w:rFonts w:ascii="Calibri" w:eastAsia="Times New Roman" w:hAnsi="Calibri" w:cs="Arial"/>
      <w:b/>
      <w:snapToGrid w:val="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19754">
      <w:bodyDiv w:val="1"/>
      <w:marLeft w:val="0"/>
      <w:marRight w:val="0"/>
      <w:marTop w:val="150"/>
      <w:marBottom w:val="0"/>
      <w:divBdr>
        <w:top w:val="none" w:sz="0" w:space="0" w:color="auto"/>
        <w:left w:val="none" w:sz="0" w:space="0" w:color="auto"/>
        <w:bottom w:val="none" w:sz="0" w:space="0" w:color="auto"/>
        <w:right w:val="none" w:sz="0" w:space="0" w:color="auto"/>
      </w:divBdr>
      <w:divsChild>
        <w:div w:id="454951453">
          <w:marLeft w:val="0"/>
          <w:marRight w:val="0"/>
          <w:marTop w:val="0"/>
          <w:marBottom w:val="0"/>
          <w:divBdr>
            <w:top w:val="single" w:sz="6" w:space="0" w:color="CCCCCC"/>
            <w:left w:val="single" w:sz="6" w:space="0" w:color="CCCCCC"/>
            <w:bottom w:val="single" w:sz="6" w:space="0" w:color="CCCCCC"/>
            <w:right w:val="single" w:sz="6" w:space="0" w:color="CCCCCC"/>
          </w:divBdr>
          <w:divsChild>
            <w:div w:id="306083862">
              <w:marLeft w:val="0"/>
              <w:marRight w:val="0"/>
              <w:marTop w:val="0"/>
              <w:marBottom w:val="0"/>
              <w:divBdr>
                <w:top w:val="none" w:sz="0" w:space="0" w:color="auto"/>
                <w:left w:val="none" w:sz="0" w:space="0" w:color="auto"/>
                <w:bottom w:val="none" w:sz="0" w:space="0" w:color="auto"/>
                <w:right w:val="none" w:sz="0" w:space="0" w:color="auto"/>
              </w:divBdr>
              <w:divsChild>
                <w:div w:id="576551481">
                  <w:marLeft w:val="0"/>
                  <w:marRight w:val="0"/>
                  <w:marTop w:val="0"/>
                  <w:marBottom w:val="0"/>
                  <w:divBdr>
                    <w:top w:val="none" w:sz="0" w:space="0" w:color="auto"/>
                    <w:left w:val="none" w:sz="0" w:space="0" w:color="auto"/>
                    <w:bottom w:val="none" w:sz="0" w:space="0" w:color="auto"/>
                    <w:right w:val="none" w:sz="0" w:space="0" w:color="auto"/>
                  </w:divBdr>
                  <w:divsChild>
                    <w:div w:id="638068629">
                      <w:marLeft w:val="0"/>
                      <w:marRight w:val="0"/>
                      <w:marTop w:val="0"/>
                      <w:marBottom w:val="0"/>
                      <w:divBdr>
                        <w:top w:val="none" w:sz="0" w:space="0" w:color="auto"/>
                        <w:left w:val="none" w:sz="0" w:space="0" w:color="auto"/>
                        <w:bottom w:val="none" w:sz="0" w:space="0" w:color="auto"/>
                        <w:right w:val="none" w:sz="0" w:space="0" w:color="auto"/>
                      </w:divBdr>
                      <w:divsChild>
                        <w:div w:id="1843468200">
                          <w:marLeft w:val="0"/>
                          <w:marRight w:val="0"/>
                          <w:marTop w:val="0"/>
                          <w:marBottom w:val="150"/>
                          <w:divBdr>
                            <w:top w:val="none" w:sz="0" w:space="0" w:color="auto"/>
                            <w:left w:val="none" w:sz="0" w:space="0" w:color="auto"/>
                            <w:bottom w:val="none" w:sz="0" w:space="0" w:color="auto"/>
                            <w:right w:val="none" w:sz="0" w:space="0" w:color="auto"/>
                          </w:divBdr>
                          <w:divsChild>
                            <w:div w:id="384913717">
                              <w:marLeft w:val="0"/>
                              <w:marRight w:val="0"/>
                              <w:marTop w:val="0"/>
                              <w:marBottom w:val="0"/>
                              <w:divBdr>
                                <w:top w:val="none" w:sz="0" w:space="0" w:color="auto"/>
                                <w:left w:val="none" w:sz="0" w:space="0" w:color="auto"/>
                                <w:bottom w:val="none" w:sz="0" w:space="0" w:color="auto"/>
                                <w:right w:val="none" w:sz="0" w:space="0" w:color="auto"/>
                              </w:divBdr>
                              <w:divsChild>
                                <w:div w:id="166817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312117">
      <w:bodyDiv w:val="1"/>
      <w:marLeft w:val="0"/>
      <w:marRight w:val="0"/>
      <w:marTop w:val="0"/>
      <w:marBottom w:val="0"/>
      <w:divBdr>
        <w:top w:val="none" w:sz="0" w:space="0" w:color="auto"/>
        <w:left w:val="none" w:sz="0" w:space="0" w:color="auto"/>
        <w:bottom w:val="none" w:sz="0" w:space="0" w:color="auto"/>
        <w:right w:val="none" w:sz="0" w:space="0" w:color="auto"/>
      </w:divBdr>
    </w:div>
    <w:div w:id="128072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Newcastle</dc:creator>
  <cp:lastModifiedBy>Barbara Morrow</cp:lastModifiedBy>
  <cp:revision>11</cp:revision>
  <cp:lastPrinted>2013-11-13T00:19:00Z</cp:lastPrinted>
  <dcterms:created xsi:type="dcterms:W3CDTF">2013-09-14T03:57:00Z</dcterms:created>
  <dcterms:modified xsi:type="dcterms:W3CDTF">2013-11-13T00:19:00Z</dcterms:modified>
</cp:coreProperties>
</file>