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D3" w:rsidRPr="003815B1" w:rsidRDefault="008C0E2B" w:rsidP="00ED6BC8">
      <w:pPr>
        <w:rPr>
          <w:rFonts w:eastAsia="Times New Roman"/>
          <w:b/>
          <w:bCs/>
          <w:sz w:val="32"/>
          <w:szCs w:val="32"/>
          <w:lang w:eastAsia="en-AU"/>
        </w:rPr>
      </w:pPr>
      <w:bookmarkStart w:id="0" w:name="_GoBack"/>
      <w:bookmarkEnd w:id="0"/>
      <w:r>
        <w:rPr>
          <w:rFonts w:eastAsia="Times New Roman"/>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UON_ALT_MONO v10" style="position:absolute;margin-left:408.1pt;margin-top:-29.85pt;width:90.15pt;height:86.65pt;z-index:251656704;visibility:visible">
            <v:imagedata r:id="rId7" o:title="UON_ALT_MONO v10"/>
            <w10:wrap type="square"/>
          </v:shape>
        </w:pict>
      </w:r>
      <w:r w:rsidR="00A815D3" w:rsidRPr="00A815D3">
        <w:rPr>
          <w:rFonts w:eastAsia="Times New Roman"/>
          <w:b/>
          <w:bCs/>
          <w:sz w:val="36"/>
          <w:szCs w:val="32"/>
          <w:lang w:eastAsia="en-AU"/>
        </w:rPr>
        <w:t>Recognition of Prior Learning (RPL)</w:t>
      </w:r>
      <w:r w:rsidR="00C21146">
        <w:rPr>
          <w:rFonts w:eastAsia="Times New Roman"/>
          <w:b/>
          <w:bCs/>
          <w:sz w:val="36"/>
          <w:szCs w:val="32"/>
          <w:lang w:eastAsia="en-AU"/>
        </w:rPr>
        <w:t xml:space="preserve"> </w:t>
      </w:r>
      <w:r w:rsidR="00C21146">
        <w:rPr>
          <w:rFonts w:eastAsia="Times New Roman"/>
          <w:b/>
          <w:bCs/>
          <w:sz w:val="36"/>
          <w:szCs w:val="32"/>
          <w:lang w:eastAsia="en-AU"/>
        </w:rPr>
        <w:br/>
      </w:r>
    </w:p>
    <w:p w:rsidR="001C73B2" w:rsidRDefault="001C73B2" w:rsidP="00A815D3">
      <w:pPr>
        <w:spacing w:before="240"/>
        <w:rPr>
          <w:b/>
          <w:sz w:val="24"/>
          <w:szCs w:val="24"/>
        </w:rPr>
      </w:pPr>
      <w:r>
        <w:rPr>
          <w:b/>
          <w:sz w:val="24"/>
          <w:szCs w:val="24"/>
        </w:rPr>
        <w:t>Scope</w:t>
      </w:r>
    </w:p>
    <w:p w:rsidR="001C73B2" w:rsidRPr="001C73B2" w:rsidRDefault="001C73B2" w:rsidP="00A815D3">
      <w:pPr>
        <w:spacing w:before="240"/>
        <w:rPr>
          <w:sz w:val="24"/>
          <w:szCs w:val="24"/>
        </w:rPr>
      </w:pPr>
      <w:r>
        <w:rPr>
          <w:sz w:val="24"/>
          <w:szCs w:val="24"/>
        </w:rPr>
        <w:t xml:space="preserve">This </w:t>
      </w:r>
      <w:r w:rsidR="00DB086E">
        <w:rPr>
          <w:sz w:val="24"/>
          <w:szCs w:val="24"/>
        </w:rPr>
        <w:t xml:space="preserve">RPL </w:t>
      </w:r>
      <w:r>
        <w:rPr>
          <w:sz w:val="24"/>
          <w:szCs w:val="24"/>
        </w:rPr>
        <w:t>document covers undergraduate and postgraduate programs.</w:t>
      </w:r>
    </w:p>
    <w:p w:rsidR="00C64B89" w:rsidRPr="00C02AA0" w:rsidRDefault="007B1340" w:rsidP="00A815D3">
      <w:pPr>
        <w:spacing w:before="240"/>
        <w:rPr>
          <w:b/>
          <w:i/>
          <w:sz w:val="24"/>
          <w:szCs w:val="24"/>
        </w:rPr>
      </w:pPr>
      <w:r w:rsidRPr="00C02AA0">
        <w:rPr>
          <w:b/>
          <w:i/>
          <w:sz w:val="24"/>
          <w:szCs w:val="24"/>
        </w:rPr>
        <w:t>Definitions</w:t>
      </w:r>
      <w:r w:rsidR="00A815D3" w:rsidRPr="00C02AA0">
        <w:rPr>
          <w:b/>
          <w:i/>
          <w:sz w:val="24"/>
          <w:szCs w:val="24"/>
        </w:rPr>
        <w:t>:</w:t>
      </w:r>
    </w:p>
    <w:p w:rsidR="00AA456B" w:rsidRDefault="00AA456B" w:rsidP="00A815D3">
      <w:pPr>
        <w:spacing w:before="100" w:beforeAutospacing="1" w:after="204"/>
        <w:rPr>
          <w:rFonts w:eastAsia="Times New Roman"/>
          <w:bCs/>
          <w:lang w:eastAsia="en-AU"/>
        </w:rPr>
      </w:pPr>
      <w:r>
        <w:rPr>
          <w:rFonts w:eastAsia="Times New Roman"/>
          <w:b/>
          <w:bCs/>
          <w:lang w:eastAsia="en-AU"/>
        </w:rPr>
        <w:t>Recognition of Prior Learning (RPL)</w:t>
      </w:r>
      <w:r w:rsidR="00DD7613">
        <w:rPr>
          <w:rFonts w:eastAsia="Times New Roman"/>
          <w:b/>
          <w:bCs/>
          <w:lang w:eastAsia="en-AU"/>
        </w:rPr>
        <w:t xml:space="preserve"> </w:t>
      </w:r>
      <w:r w:rsidR="00DD7613">
        <w:rPr>
          <w:rFonts w:eastAsia="Times New Roman"/>
          <w:bCs/>
          <w:lang w:eastAsia="en-AU"/>
        </w:rPr>
        <w:t>is defined under the Australian Qualifications Framework (AQF) as follows:</w:t>
      </w:r>
    </w:p>
    <w:p w:rsidR="00DD7613" w:rsidRPr="00DD7613" w:rsidRDefault="00DD7613" w:rsidP="00DD7613">
      <w:pPr>
        <w:spacing w:before="100" w:beforeAutospacing="1" w:after="204"/>
        <w:ind w:left="720"/>
        <w:rPr>
          <w:rFonts w:eastAsia="Times New Roman"/>
          <w:bCs/>
          <w:i/>
          <w:lang w:eastAsia="en-AU"/>
        </w:rPr>
      </w:pPr>
      <w:r w:rsidRPr="00DD7613">
        <w:rPr>
          <w:rFonts w:eastAsia="Times New Roman"/>
          <w:bCs/>
          <w:i/>
          <w:lang w:eastAsia="en-AU"/>
        </w:rPr>
        <w:t>Recognition of prior learning is an assessment process that involves assessment of an individual’s relevant prior learning (including formal, informal and non-formal learning) to determine the credit outcomes of an individual application for credit.</w:t>
      </w:r>
    </w:p>
    <w:p w:rsidR="00DD7613" w:rsidRDefault="00DD7613" w:rsidP="00A815D3">
      <w:pPr>
        <w:spacing w:before="100" w:beforeAutospacing="1" w:after="204"/>
        <w:rPr>
          <w:rFonts w:eastAsia="Times New Roman"/>
          <w:bCs/>
          <w:lang w:eastAsia="en-AU"/>
        </w:rPr>
      </w:pPr>
      <w:r>
        <w:rPr>
          <w:rFonts w:eastAsia="Times New Roman"/>
          <w:bCs/>
          <w:lang w:eastAsia="en-AU"/>
        </w:rPr>
        <w:t>This is underpinned by the AQF definition of credit as follows:</w:t>
      </w:r>
    </w:p>
    <w:p w:rsidR="00DD7613" w:rsidRPr="00DD7613" w:rsidRDefault="00DD7613" w:rsidP="00DD7613">
      <w:pPr>
        <w:spacing w:before="100" w:beforeAutospacing="1" w:after="204"/>
        <w:ind w:left="720"/>
        <w:rPr>
          <w:rFonts w:eastAsia="Times New Roman"/>
          <w:bCs/>
          <w:i/>
          <w:lang w:eastAsia="en-AU"/>
        </w:rPr>
      </w:pPr>
      <w:r w:rsidRPr="00DD7613">
        <w:rPr>
          <w:rFonts w:eastAsia="Times New Roman"/>
          <w:bCs/>
          <w:i/>
          <w:lang w:eastAsia="en-AU"/>
        </w:rPr>
        <w:t xml:space="preserve">Credit is the value assigned for the recognition of equivalence in content and learning outcomes between different types of learning and/or qualifications. Credit reduces the </w:t>
      </w:r>
      <w:proofErr w:type="gramStart"/>
      <w:r w:rsidRPr="00DD7613">
        <w:rPr>
          <w:rFonts w:eastAsia="Times New Roman"/>
          <w:bCs/>
          <w:i/>
          <w:lang w:eastAsia="en-AU"/>
        </w:rPr>
        <w:t>amount</w:t>
      </w:r>
      <w:proofErr w:type="gramEnd"/>
      <w:r w:rsidRPr="00DD7613">
        <w:rPr>
          <w:rFonts w:eastAsia="Times New Roman"/>
          <w:bCs/>
          <w:i/>
          <w:lang w:eastAsia="en-AU"/>
        </w:rPr>
        <w:t xml:space="preserve"> of learning required to achieve a qualification and may be through credit transfer, articulation, recognition of prior learning or advanced standing.</w:t>
      </w:r>
    </w:p>
    <w:p w:rsidR="00A815D3" w:rsidRDefault="00A815D3" w:rsidP="00A815D3">
      <w:pPr>
        <w:spacing w:before="100" w:beforeAutospacing="1" w:after="204"/>
        <w:rPr>
          <w:rFonts w:eastAsia="Times New Roman"/>
          <w:lang w:eastAsia="en-AU"/>
        </w:rPr>
      </w:pPr>
      <w:r w:rsidRPr="00AA456B">
        <w:rPr>
          <w:rFonts w:eastAsia="Times New Roman"/>
          <w:bCs/>
          <w:lang w:eastAsia="en-AU"/>
        </w:rPr>
        <w:t>Rec</w:t>
      </w:r>
      <w:r w:rsidR="00AA456B">
        <w:rPr>
          <w:rFonts w:eastAsia="Times New Roman"/>
          <w:bCs/>
          <w:lang w:eastAsia="en-AU"/>
        </w:rPr>
        <w:t xml:space="preserve">ognition of Prior Learning </w:t>
      </w:r>
      <w:r w:rsidR="00AA456B">
        <w:rPr>
          <w:rFonts w:eastAsia="Times New Roman"/>
          <w:lang w:eastAsia="en-AU"/>
        </w:rPr>
        <w:t xml:space="preserve">under the current University of Newcastle policy is </w:t>
      </w:r>
      <w:r w:rsidR="00C21146">
        <w:rPr>
          <w:rFonts w:eastAsia="Times New Roman"/>
          <w:lang w:eastAsia="en-AU"/>
        </w:rPr>
        <w:t>consistent with the AQF definition</w:t>
      </w:r>
      <w:r w:rsidR="00AA456B">
        <w:rPr>
          <w:rFonts w:eastAsia="Times New Roman"/>
          <w:lang w:eastAsia="en-AU"/>
        </w:rPr>
        <w:t xml:space="preserve"> and is expressed as</w:t>
      </w:r>
      <w:r w:rsidRPr="00A815D3">
        <w:rPr>
          <w:rFonts w:eastAsia="Times New Roman"/>
          <w:lang w:eastAsia="en-AU"/>
        </w:rPr>
        <w:t xml:space="preserve"> “an assessment process tha</w:t>
      </w:r>
      <w:r w:rsidR="008A2520">
        <w:rPr>
          <w:rFonts w:eastAsia="Times New Roman"/>
          <w:lang w:eastAsia="en-AU"/>
        </w:rPr>
        <w:t xml:space="preserve">t assesses the individual's </w:t>
      </w:r>
      <w:r w:rsidRPr="00A815D3">
        <w:rPr>
          <w:rFonts w:eastAsia="Times New Roman"/>
          <w:lang w:eastAsia="en-AU"/>
        </w:rPr>
        <w:t xml:space="preserve">formal and informal learning to determine the extent to which that individual has achieved the required learning outcomes, competency outcomes, or standards for entry to, and/or partial or total </w:t>
      </w:r>
      <w:bookmarkStart w:id="1" w:name="_ednref1"/>
      <w:r w:rsidR="008A2520">
        <w:rPr>
          <w:rFonts w:eastAsia="Times New Roman"/>
          <w:lang w:eastAsia="en-AU"/>
        </w:rPr>
        <w:t xml:space="preserve">completion of, an AQF standard </w:t>
      </w:r>
      <w:r w:rsidR="000E0A16">
        <w:rPr>
          <w:rFonts w:eastAsia="Times New Roman"/>
          <w:lang w:eastAsia="en-AU"/>
        </w:rPr>
        <w:t>qualification”</w:t>
      </w:r>
      <w:hyperlink r:id="rId8" w:anchor="_edn1" w:history="1">
        <w:r w:rsidRPr="000E0A16">
          <w:rPr>
            <w:rFonts w:eastAsia="Times New Roman"/>
            <w:color w:val="0055AA"/>
            <w:u w:val="single"/>
            <w:vertAlign w:val="superscript"/>
            <w:lang w:eastAsia="en-AU"/>
          </w:rPr>
          <w:t>[1]</w:t>
        </w:r>
      </w:hyperlink>
      <w:bookmarkEnd w:id="1"/>
      <w:r w:rsidRPr="00A815D3">
        <w:rPr>
          <w:rFonts w:eastAsia="Times New Roman"/>
          <w:lang w:eastAsia="en-AU"/>
        </w:rPr>
        <w:t>;</w:t>
      </w:r>
    </w:p>
    <w:p w:rsidR="00C21146" w:rsidRDefault="00C21146" w:rsidP="004A6E4E">
      <w:pPr>
        <w:spacing w:before="100" w:beforeAutospacing="1" w:after="204"/>
        <w:ind w:right="-330"/>
        <w:rPr>
          <w:rFonts w:eastAsia="Times New Roman"/>
          <w:bCs/>
          <w:lang w:eastAsia="en-AU"/>
        </w:rPr>
      </w:pPr>
      <w:r>
        <w:rPr>
          <w:rFonts w:eastAsia="Times New Roman"/>
          <w:b/>
          <w:bCs/>
          <w:lang w:eastAsia="en-AU"/>
        </w:rPr>
        <w:t xml:space="preserve">Cognate Discipline </w:t>
      </w:r>
      <w:r>
        <w:rPr>
          <w:rFonts w:eastAsia="Times New Roman"/>
          <w:bCs/>
          <w:lang w:eastAsia="en-AU"/>
        </w:rPr>
        <w:t>means the same discipline, where discipline is defined as the ABS Australian Standard of Classification of Education, as follows</w:t>
      </w:r>
    </w:p>
    <w:p w:rsidR="00C21146" w:rsidRDefault="00C21146" w:rsidP="00C21146">
      <w:pPr>
        <w:pStyle w:val="NoSpacing"/>
        <w:ind w:left="720"/>
        <w:rPr>
          <w:lang w:eastAsia="en-AU"/>
        </w:rPr>
      </w:pPr>
      <w:r>
        <w:rPr>
          <w:lang w:eastAsia="en-AU"/>
        </w:rPr>
        <w:t>01 Natural and Physical Sciences</w:t>
      </w:r>
    </w:p>
    <w:p w:rsidR="00C21146" w:rsidRDefault="00C21146" w:rsidP="00C21146">
      <w:pPr>
        <w:pStyle w:val="NoSpacing"/>
        <w:ind w:left="720"/>
        <w:rPr>
          <w:lang w:eastAsia="en-AU"/>
        </w:rPr>
      </w:pPr>
      <w:r>
        <w:rPr>
          <w:lang w:eastAsia="en-AU"/>
        </w:rPr>
        <w:t xml:space="preserve">02 Information </w:t>
      </w:r>
      <w:proofErr w:type="gramStart"/>
      <w:r>
        <w:rPr>
          <w:lang w:eastAsia="en-AU"/>
        </w:rPr>
        <w:t>Technology</w:t>
      </w:r>
      <w:proofErr w:type="gramEnd"/>
    </w:p>
    <w:p w:rsidR="00C21146" w:rsidRDefault="00C21146" w:rsidP="00C21146">
      <w:pPr>
        <w:pStyle w:val="NoSpacing"/>
        <w:ind w:left="720"/>
        <w:rPr>
          <w:lang w:eastAsia="en-AU"/>
        </w:rPr>
      </w:pPr>
      <w:r>
        <w:rPr>
          <w:lang w:eastAsia="en-AU"/>
        </w:rPr>
        <w:t>03 Engineering and Related Technologies</w:t>
      </w:r>
    </w:p>
    <w:p w:rsidR="00C21146" w:rsidRDefault="00C21146" w:rsidP="00C21146">
      <w:pPr>
        <w:pStyle w:val="NoSpacing"/>
        <w:ind w:left="720"/>
        <w:rPr>
          <w:lang w:eastAsia="en-AU"/>
        </w:rPr>
      </w:pPr>
      <w:proofErr w:type="gramStart"/>
      <w:r>
        <w:rPr>
          <w:lang w:eastAsia="en-AU"/>
        </w:rPr>
        <w:t>04 Architecture</w:t>
      </w:r>
      <w:proofErr w:type="gramEnd"/>
      <w:r>
        <w:rPr>
          <w:lang w:eastAsia="en-AU"/>
        </w:rPr>
        <w:t xml:space="preserve"> and Building</w:t>
      </w:r>
    </w:p>
    <w:p w:rsidR="00C21146" w:rsidRDefault="00C21146" w:rsidP="00C21146">
      <w:pPr>
        <w:pStyle w:val="NoSpacing"/>
        <w:ind w:left="720"/>
        <w:rPr>
          <w:lang w:eastAsia="en-AU"/>
        </w:rPr>
      </w:pPr>
      <w:proofErr w:type="gramStart"/>
      <w:r>
        <w:rPr>
          <w:lang w:eastAsia="en-AU"/>
        </w:rPr>
        <w:t>05 Agriculture, Environmental and Related Studies</w:t>
      </w:r>
      <w:proofErr w:type="gramEnd"/>
    </w:p>
    <w:p w:rsidR="00C21146" w:rsidRDefault="00C21146" w:rsidP="00C21146">
      <w:pPr>
        <w:pStyle w:val="NoSpacing"/>
        <w:ind w:left="720"/>
        <w:rPr>
          <w:lang w:eastAsia="en-AU"/>
        </w:rPr>
      </w:pPr>
      <w:r>
        <w:rPr>
          <w:lang w:eastAsia="en-AU"/>
        </w:rPr>
        <w:t xml:space="preserve">06 </w:t>
      </w:r>
      <w:proofErr w:type="gramStart"/>
      <w:r>
        <w:rPr>
          <w:lang w:eastAsia="en-AU"/>
        </w:rPr>
        <w:t>Health</w:t>
      </w:r>
      <w:proofErr w:type="gramEnd"/>
    </w:p>
    <w:p w:rsidR="00C21146" w:rsidRDefault="00C21146" w:rsidP="00C21146">
      <w:pPr>
        <w:pStyle w:val="NoSpacing"/>
        <w:ind w:left="720"/>
        <w:rPr>
          <w:lang w:eastAsia="en-AU"/>
        </w:rPr>
      </w:pPr>
      <w:r>
        <w:rPr>
          <w:lang w:eastAsia="en-AU"/>
        </w:rPr>
        <w:t xml:space="preserve">07 </w:t>
      </w:r>
      <w:proofErr w:type="gramStart"/>
      <w:r>
        <w:rPr>
          <w:lang w:eastAsia="en-AU"/>
        </w:rPr>
        <w:t>Education</w:t>
      </w:r>
      <w:proofErr w:type="gramEnd"/>
    </w:p>
    <w:p w:rsidR="00C21146" w:rsidRDefault="00C21146" w:rsidP="00C21146">
      <w:pPr>
        <w:pStyle w:val="NoSpacing"/>
        <w:ind w:left="720"/>
        <w:rPr>
          <w:lang w:eastAsia="en-AU"/>
        </w:rPr>
      </w:pPr>
      <w:proofErr w:type="gramStart"/>
      <w:r>
        <w:rPr>
          <w:lang w:eastAsia="en-AU"/>
        </w:rPr>
        <w:t>08 Management</w:t>
      </w:r>
      <w:proofErr w:type="gramEnd"/>
      <w:r>
        <w:rPr>
          <w:lang w:eastAsia="en-AU"/>
        </w:rPr>
        <w:t xml:space="preserve"> and Commerce</w:t>
      </w:r>
    </w:p>
    <w:p w:rsidR="00C21146" w:rsidRDefault="00C21146" w:rsidP="00C21146">
      <w:pPr>
        <w:pStyle w:val="NoSpacing"/>
        <w:ind w:left="720"/>
        <w:rPr>
          <w:lang w:eastAsia="en-AU"/>
        </w:rPr>
      </w:pPr>
      <w:r>
        <w:rPr>
          <w:lang w:eastAsia="en-AU"/>
        </w:rPr>
        <w:t xml:space="preserve">09 </w:t>
      </w:r>
      <w:proofErr w:type="gramStart"/>
      <w:r>
        <w:rPr>
          <w:lang w:eastAsia="en-AU"/>
        </w:rPr>
        <w:t>Society</w:t>
      </w:r>
      <w:proofErr w:type="gramEnd"/>
      <w:r>
        <w:rPr>
          <w:lang w:eastAsia="en-AU"/>
        </w:rPr>
        <w:t xml:space="preserve"> and Culture</w:t>
      </w:r>
    </w:p>
    <w:p w:rsidR="00C21146" w:rsidRDefault="00C21146" w:rsidP="00C21146">
      <w:pPr>
        <w:pStyle w:val="NoSpacing"/>
        <w:ind w:left="720"/>
        <w:rPr>
          <w:lang w:eastAsia="en-AU"/>
        </w:rPr>
      </w:pPr>
      <w:r>
        <w:rPr>
          <w:lang w:eastAsia="en-AU"/>
        </w:rPr>
        <w:t>10 Creative Arts</w:t>
      </w:r>
    </w:p>
    <w:p w:rsidR="00C21146" w:rsidRDefault="00C21146" w:rsidP="00C21146">
      <w:pPr>
        <w:pStyle w:val="NoSpacing"/>
        <w:ind w:left="720"/>
        <w:rPr>
          <w:lang w:eastAsia="en-AU"/>
        </w:rPr>
      </w:pPr>
      <w:r>
        <w:rPr>
          <w:lang w:eastAsia="en-AU"/>
        </w:rPr>
        <w:t>11 Food, Hospitality and Personal Services</w:t>
      </w:r>
    </w:p>
    <w:p w:rsidR="00C21146" w:rsidRDefault="00C21146" w:rsidP="00C21146">
      <w:pPr>
        <w:pStyle w:val="NoSpacing"/>
        <w:ind w:left="720"/>
        <w:rPr>
          <w:lang w:eastAsia="en-AU"/>
        </w:rPr>
      </w:pPr>
      <w:r>
        <w:rPr>
          <w:lang w:eastAsia="en-AU"/>
        </w:rPr>
        <w:t>12 Mixed Field Programs</w:t>
      </w:r>
    </w:p>
    <w:p w:rsidR="00C21146" w:rsidRDefault="00C21146" w:rsidP="00C21146">
      <w:pPr>
        <w:pStyle w:val="NoSpacing"/>
        <w:rPr>
          <w:lang w:eastAsia="en-AU"/>
        </w:rPr>
      </w:pPr>
    </w:p>
    <w:p w:rsidR="00C21146" w:rsidRDefault="00C21146" w:rsidP="00C21146">
      <w:pPr>
        <w:pStyle w:val="NoSpacing"/>
        <w:rPr>
          <w:lang w:eastAsia="en-AU"/>
        </w:rPr>
      </w:pPr>
      <w:r>
        <w:rPr>
          <w:b/>
          <w:lang w:eastAsia="en-AU"/>
        </w:rPr>
        <w:t xml:space="preserve">Non-cognate Discipline </w:t>
      </w:r>
      <w:r>
        <w:rPr>
          <w:lang w:eastAsia="en-AU"/>
        </w:rPr>
        <w:t>means different discipline, where discipline is defined as the ABS Australian Standard of Classification of Education as above.</w:t>
      </w:r>
    </w:p>
    <w:p w:rsidR="00C21146" w:rsidRDefault="00C21146" w:rsidP="00C21146">
      <w:pPr>
        <w:pStyle w:val="NoSpacing"/>
        <w:rPr>
          <w:lang w:eastAsia="en-AU"/>
        </w:rPr>
      </w:pPr>
    </w:p>
    <w:p w:rsidR="00075134" w:rsidRDefault="00C21146" w:rsidP="00C21146">
      <w:pPr>
        <w:pStyle w:val="NoSpacing"/>
        <w:rPr>
          <w:lang w:eastAsia="en-AU"/>
        </w:rPr>
      </w:pPr>
      <w:r>
        <w:rPr>
          <w:b/>
          <w:lang w:eastAsia="en-AU"/>
        </w:rPr>
        <w:lastRenderedPageBreak/>
        <w:t xml:space="preserve">Aligned Discipline </w:t>
      </w:r>
      <w:r>
        <w:rPr>
          <w:lang w:eastAsia="en-AU"/>
        </w:rPr>
        <w:t>recognises that</w:t>
      </w:r>
      <w:r w:rsidR="00075134">
        <w:rPr>
          <w:lang w:eastAsia="en-AU"/>
        </w:rPr>
        <w:t xml:space="preserve"> for some postgraduate programs</w:t>
      </w:r>
      <w:r>
        <w:rPr>
          <w:lang w:eastAsia="en-AU"/>
        </w:rPr>
        <w:t xml:space="preserve"> study may build upon competencies developed</w:t>
      </w:r>
      <w:r w:rsidR="00075134">
        <w:rPr>
          <w:lang w:eastAsia="en-AU"/>
        </w:rPr>
        <w:t xml:space="preserve"> through prior learning</w:t>
      </w:r>
      <w:r>
        <w:rPr>
          <w:lang w:eastAsia="en-AU"/>
        </w:rPr>
        <w:t xml:space="preserve"> in a non-cognate discipline</w:t>
      </w:r>
      <w:r w:rsidR="00075134">
        <w:rPr>
          <w:lang w:eastAsia="en-AU"/>
        </w:rPr>
        <w:t>, and means for the purpose of recognition of prior learning a discipline that has been recognised through a formal approval process as being likely to prepare students in part for the program of study.</w:t>
      </w:r>
    </w:p>
    <w:p w:rsidR="001C73B2" w:rsidRDefault="001C73B2" w:rsidP="0022531B">
      <w:pPr>
        <w:pStyle w:val="NoSpacing"/>
        <w:rPr>
          <w:b/>
          <w:i/>
          <w:sz w:val="24"/>
          <w:szCs w:val="24"/>
        </w:rPr>
      </w:pPr>
    </w:p>
    <w:p w:rsidR="001C73B2" w:rsidRDefault="001C73B2" w:rsidP="0022531B">
      <w:pPr>
        <w:pStyle w:val="NoSpacing"/>
        <w:rPr>
          <w:b/>
          <w:i/>
          <w:sz w:val="24"/>
          <w:szCs w:val="24"/>
        </w:rPr>
      </w:pPr>
    </w:p>
    <w:p w:rsidR="00C02AA0" w:rsidRPr="0022531B" w:rsidRDefault="00C02AA0" w:rsidP="0022531B">
      <w:pPr>
        <w:pStyle w:val="NoSpacing"/>
        <w:rPr>
          <w:lang w:eastAsia="en-AU"/>
        </w:rPr>
      </w:pPr>
      <w:r w:rsidRPr="00C02AA0">
        <w:rPr>
          <w:b/>
          <w:i/>
          <w:sz w:val="24"/>
          <w:szCs w:val="24"/>
        </w:rPr>
        <w:t>Process</w:t>
      </w:r>
      <w:r w:rsidR="00FF3AFF">
        <w:rPr>
          <w:b/>
          <w:i/>
          <w:sz w:val="24"/>
          <w:szCs w:val="24"/>
        </w:rPr>
        <w:t xml:space="preserve"> for Using Recognition of Prior Learning in Admissions</w:t>
      </w:r>
      <w:r w:rsidRPr="00C02AA0">
        <w:rPr>
          <w:b/>
          <w:i/>
          <w:sz w:val="24"/>
          <w:szCs w:val="24"/>
        </w:rPr>
        <w:t>:</w:t>
      </w:r>
    </w:p>
    <w:p w:rsidR="0022531B" w:rsidRDefault="0022531B" w:rsidP="0022531B">
      <w:pPr>
        <w:spacing w:after="0"/>
        <w:rPr>
          <w:b/>
        </w:rPr>
      </w:pPr>
    </w:p>
    <w:p w:rsidR="007B1340" w:rsidRPr="00A815D3" w:rsidRDefault="007B1340" w:rsidP="00A815D3">
      <w:r w:rsidRPr="00D27410">
        <w:rPr>
          <w:b/>
        </w:rPr>
        <w:t>Prior Learning</w:t>
      </w:r>
      <w:r w:rsidRPr="00A815D3">
        <w:t xml:space="preserve"> assessed by the University may be used to satisfy, or partially satisfy, course admission criteria, and/or gain exempti</w:t>
      </w:r>
      <w:r w:rsidR="00F35ADE">
        <w:t>on in some programs at any AQF L</w:t>
      </w:r>
      <w:r w:rsidRPr="00A815D3">
        <w:t>evel.</w:t>
      </w:r>
    </w:p>
    <w:p w:rsidR="007B1340" w:rsidRPr="00A815D3" w:rsidRDefault="007B1340" w:rsidP="00A815D3">
      <w:r w:rsidRPr="00A815D3">
        <w:t>In assessing Prior Learning the University will take account of</w:t>
      </w:r>
    </w:p>
    <w:p w:rsidR="007B1340" w:rsidRPr="00A815D3" w:rsidRDefault="007B1340" w:rsidP="00A815D3">
      <w:pPr>
        <w:pStyle w:val="ListParagraph"/>
        <w:numPr>
          <w:ilvl w:val="0"/>
          <w:numId w:val="1"/>
        </w:numPr>
      </w:pPr>
      <w:r w:rsidRPr="00A815D3">
        <w:t xml:space="preserve">Courses </w:t>
      </w:r>
      <w:r w:rsidR="008A2520">
        <w:t xml:space="preserve">successfully completed which are </w:t>
      </w:r>
      <w:r w:rsidRPr="00A815D3">
        <w:t>provided by p</w:t>
      </w:r>
      <w:r w:rsidR="003A6005">
        <w:t>rofessional bodies, enterprises and</w:t>
      </w:r>
      <w:r w:rsidRPr="00A815D3">
        <w:t xml:space="preserve"> </w:t>
      </w:r>
      <w:r w:rsidR="003A6005">
        <w:t>other</w:t>
      </w:r>
      <w:r w:rsidRPr="00A815D3">
        <w:t xml:space="preserve"> education providers;</w:t>
      </w:r>
    </w:p>
    <w:p w:rsidR="007B1340" w:rsidRPr="00A815D3" w:rsidRDefault="008A2520" w:rsidP="00A815D3">
      <w:pPr>
        <w:pStyle w:val="ListParagraph"/>
        <w:numPr>
          <w:ilvl w:val="0"/>
          <w:numId w:val="1"/>
        </w:numPr>
      </w:pPr>
      <w:r>
        <w:t>Current p</w:t>
      </w:r>
      <w:r w:rsidR="007B1340" w:rsidRPr="00A815D3">
        <w:t>rofessional accredit</w:t>
      </w:r>
      <w:r w:rsidR="002C608E">
        <w:t>ations</w:t>
      </w:r>
      <w:r w:rsidR="007B1340" w:rsidRPr="00A815D3">
        <w:t xml:space="preserve"> </w:t>
      </w:r>
      <w:r w:rsidR="003A6005">
        <w:t>or</w:t>
      </w:r>
      <w:r>
        <w:t xml:space="preserve"> </w:t>
      </w:r>
      <w:r w:rsidR="007B1340" w:rsidRPr="00A815D3">
        <w:t>industry certifications</w:t>
      </w:r>
      <w:r w:rsidR="00D21D4E">
        <w:t>;</w:t>
      </w:r>
    </w:p>
    <w:p w:rsidR="007B1340" w:rsidRPr="00A815D3" w:rsidRDefault="007B1340" w:rsidP="00A815D3">
      <w:pPr>
        <w:pStyle w:val="ListParagraph"/>
        <w:numPr>
          <w:ilvl w:val="0"/>
          <w:numId w:val="1"/>
        </w:numPr>
      </w:pPr>
      <w:r w:rsidRPr="00A815D3">
        <w:t>Learning from work and/or othe</w:t>
      </w:r>
      <w:r w:rsidR="00D21D4E">
        <w:t>r forms of practical experience</w:t>
      </w:r>
      <w:r w:rsidR="003A6005">
        <w:t>,</w:t>
      </w:r>
      <w:r w:rsidR="008A2520">
        <w:t xml:space="preserve"> including the hours and years involved </w:t>
      </w:r>
      <w:r w:rsidR="00D21D4E">
        <w:t>;</w:t>
      </w:r>
      <w:r w:rsidRPr="00A815D3">
        <w:t xml:space="preserve"> and</w:t>
      </w:r>
    </w:p>
    <w:p w:rsidR="007B1340" w:rsidRPr="00A815D3" w:rsidRDefault="007B1340" w:rsidP="00A815D3">
      <w:pPr>
        <w:pStyle w:val="ListParagraph"/>
        <w:numPr>
          <w:ilvl w:val="0"/>
          <w:numId w:val="1"/>
        </w:numPr>
      </w:pPr>
      <w:r w:rsidRPr="00A815D3">
        <w:t>Learning from life experience</w:t>
      </w:r>
    </w:p>
    <w:p w:rsidR="007B1340" w:rsidRDefault="007B1340" w:rsidP="00A815D3">
      <w:r w:rsidRPr="00A815D3">
        <w:t>It is</w:t>
      </w:r>
      <w:r w:rsidR="006921E4" w:rsidRPr="00A815D3">
        <w:t xml:space="preserve"> the student</w:t>
      </w:r>
      <w:r w:rsidR="00D21D4E">
        <w:t>’</w:t>
      </w:r>
      <w:r w:rsidR="006921E4" w:rsidRPr="00A815D3">
        <w:t>s responsibility to provide the necessary documentation for RPL to be assessed. This should be provided in portfolio form. In the case of (a) and (b) this will require official documentary evidence. In the case of (c) and (d) the student must provide a written statement to reflect their experience, in terms of what they have learnt</w:t>
      </w:r>
      <w:r w:rsidR="00DD7613">
        <w:t xml:space="preserve"> and how that learning</w:t>
      </w:r>
      <w:r w:rsidR="003A6005">
        <w:t xml:space="preserve"> </w:t>
      </w:r>
      <w:r w:rsidR="006921E4" w:rsidRPr="00A815D3">
        <w:t xml:space="preserve">prepares them for the </w:t>
      </w:r>
      <w:r w:rsidR="00D21D4E">
        <w:t xml:space="preserve">degree </w:t>
      </w:r>
      <w:r w:rsidR="006921E4" w:rsidRPr="00A815D3">
        <w:t>program</w:t>
      </w:r>
      <w:r w:rsidR="000B0227">
        <w:t xml:space="preserve"> in which</w:t>
      </w:r>
      <w:r w:rsidR="006921E4" w:rsidRPr="00A815D3">
        <w:t xml:space="preserve"> they </w:t>
      </w:r>
      <w:r w:rsidR="00D21D4E">
        <w:t>are seeking admission</w:t>
      </w:r>
      <w:r w:rsidR="006921E4" w:rsidRPr="00A815D3">
        <w:t>.</w:t>
      </w:r>
      <w:r w:rsidR="008A2520">
        <w:t xml:space="preserve"> The </w:t>
      </w:r>
      <w:r w:rsidR="003A6005">
        <w:t>Faculty will provide full details of the format in which the information is required.</w:t>
      </w:r>
      <w:r w:rsidR="008A2520">
        <w:t xml:space="preserve"> </w:t>
      </w:r>
    </w:p>
    <w:p w:rsidR="00B37CCA" w:rsidRDefault="003A6005" w:rsidP="00A815D3">
      <w:r>
        <w:t>Assessment of RPL must be undertaken by academic or teaching staff</w:t>
      </w:r>
      <w:r w:rsidR="00B37CCA">
        <w:t xml:space="preserve"> (usually the Program Convenor)</w:t>
      </w:r>
      <w:r>
        <w:t xml:space="preserve"> with appropriate expertise in the program and course content, as well as knowledge of and expertise in RPL assessment.  The assessment must be undertaken with the same rigor as for other assessment used for the qualification.  </w:t>
      </w:r>
    </w:p>
    <w:p w:rsidR="003A6005" w:rsidRPr="00A815D3" w:rsidRDefault="003A6005" w:rsidP="00A815D3">
      <w:r>
        <w:t>Documentary evidence of the decision to award credit or otherwise must be maintained, together with the basis for that decision.</w:t>
      </w:r>
      <w:r w:rsidR="00B37CCA" w:rsidRPr="00B37CCA">
        <w:t xml:space="preserve"> </w:t>
      </w:r>
      <w:r w:rsidR="00B37CCA" w:rsidRPr="00B075AB">
        <w:t>Records of decisions about RPL must be captured within the student’s record in NUSTAR and stored on a student file that has been established within a TRIM (or similar record that can be accessed for auditing and compliance monitoring).</w:t>
      </w:r>
    </w:p>
    <w:p w:rsidR="006921E4" w:rsidRPr="00A815D3" w:rsidRDefault="006921E4" w:rsidP="00A815D3">
      <w:r w:rsidRPr="00A815D3">
        <w:t xml:space="preserve">In some cases the Faculty may </w:t>
      </w:r>
      <w:r w:rsidR="00DD7613">
        <w:t>use assessment from a</w:t>
      </w:r>
      <w:r w:rsidRPr="00A815D3">
        <w:t xml:space="preserve"> short course</w:t>
      </w:r>
      <w:r w:rsidR="003A6005">
        <w:t xml:space="preserve"> or other assessment</w:t>
      </w:r>
      <w:r w:rsidRPr="00A815D3">
        <w:t xml:space="preserve"> which students can undertake </w:t>
      </w:r>
      <w:r w:rsidR="00DD7613">
        <w:t>(with or without fee as appropriate)</w:t>
      </w:r>
      <w:r w:rsidRPr="00A815D3">
        <w:t xml:space="preserve"> to </w:t>
      </w:r>
      <w:r w:rsidR="00A03A1D">
        <w:t>demonstrate</w:t>
      </w:r>
      <w:r w:rsidRPr="00A815D3">
        <w:t xml:space="preserve"> they have th</w:t>
      </w:r>
      <w:r w:rsidR="00DD7613">
        <w:t>e necessary prior learning. Such a</w:t>
      </w:r>
      <w:r w:rsidRPr="00A815D3">
        <w:t xml:space="preserve"> short course</w:t>
      </w:r>
      <w:r w:rsidR="003A6005">
        <w:t xml:space="preserve"> or assessment</w:t>
      </w:r>
      <w:r w:rsidRPr="00A815D3">
        <w:t xml:space="preserve"> must be approved by PCAC and the necessary credit it will cover </w:t>
      </w:r>
      <w:r w:rsidR="00D21D4E">
        <w:t xml:space="preserve">should be clearly </w:t>
      </w:r>
      <w:r w:rsidRPr="00A815D3">
        <w:t xml:space="preserve">stipulated. </w:t>
      </w:r>
    </w:p>
    <w:p w:rsidR="00B37CCA" w:rsidRDefault="00B37CCA" w:rsidP="00B37CCA">
      <w:r w:rsidRPr="00A815D3">
        <w:t>Each program that uses RPL</w:t>
      </w:r>
      <w:r>
        <w:t xml:space="preserve"> as a basis for admission</w:t>
      </w:r>
      <w:r w:rsidRPr="00A815D3">
        <w:t xml:space="preserve"> must </w:t>
      </w:r>
      <w:r>
        <w:t xml:space="preserve">provide a </w:t>
      </w:r>
      <w:r w:rsidRPr="00A815D3">
        <w:t>written</w:t>
      </w:r>
      <w:r>
        <w:t xml:space="preserve"> detailed submission outlining </w:t>
      </w:r>
      <w:r w:rsidR="00A03A1D">
        <w:t xml:space="preserve">the </w:t>
      </w:r>
      <w:r>
        <w:t xml:space="preserve">justification to the </w:t>
      </w:r>
      <w:r w:rsidRPr="00A815D3">
        <w:t xml:space="preserve">Program and Course Approval Committee (PCAC) for </w:t>
      </w:r>
      <w:r>
        <w:t>consideration and approval, prior to the award of RPL for that program.</w:t>
      </w:r>
      <w:r w:rsidRPr="00A815D3">
        <w:t xml:space="preserve"> </w:t>
      </w:r>
    </w:p>
    <w:p w:rsidR="001C73B2" w:rsidRDefault="001C73B2">
      <w:pPr>
        <w:rPr>
          <w:b/>
        </w:rPr>
      </w:pPr>
      <w:r>
        <w:rPr>
          <w:b/>
        </w:rPr>
        <w:br w:type="page"/>
      </w:r>
    </w:p>
    <w:p w:rsidR="005E2D9E" w:rsidRDefault="005E2D9E" w:rsidP="00B37CCA">
      <w:pPr>
        <w:rPr>
          <w:b/>
        </w:rPr>
      </w:pPr>
      <w:r>
        <w:rPr>
          <w:b/>
        </w:rPr>
        <w:t>Equivalence of Work Experience</w:t>
      </w:r>
    </w:p>
    <w:p w:rsidR="005E2D9E" w:rsidRDefault="005E2D9E" w:rsidP="00B37CCA">
      <w:r>
        <w:t xml:space="preserve">Where work experience is being used as a basis for RPL, notionally a minimum of two years of work experience in a </w:t>
      </w:r>
      <w:r w:rsidR="003D77E2">
        <w:t>relevant</w:t>
      </w:r>
      <w:r>
        <w:t xml:space="preserve"> area may be used to demonstrate equivalence </w:t>
      </w:r>
      <w:r w:rsidR="001C73B2">
        <w:t xml:space="preserve">of up </w:t>
      </w:r>
      <w:r>
        <w:t xml:space="preserve">to 80 units of formal learning, subject to the applicant providing </w:t>
      </w:r>
      <w:r w:rsidR="0022531B">
        <w:t xml:space="preserve">documentary </w:t>
      </w:r>
      <w:r>
        <w:t xml:space="preserve">evidence of </w:t>
      </w:r>
      <w:r w:rsidR="0022531B">
        <w:t xml:space="preserve">their work experience and evidence of </w:t>
      </w:r>
      <w:r>
        <w:t>reflective practice and outcomes at an appropriate level.</w:t>
      </w:r>
    </w:p>
    <w:p w:rsidR="005E2D9E" w:rsidRPr="005E2D9E" w:rsidRDefault="005E2D9E" w:rsidP="00B37CCA"/>
    <w:p w:rsidR="006921E4" w:rsidRPr="00B55722" w:rsidRDefault="00B55722" w:rsidP="00B55722">
      <w:pPr>
        <w:spacing w:before="240"/>
        <w:rPr>
          <w:b/>
          <w:i/>
          <w:sz w:val="24"/>
          <w:szCs w:val="24"/>
        </w:rPr>
      </w:pPr>
      <w:r>
        <w:rPr>
          <w:b/>
          <w:i/>
          <w:sz w:val="24"/>
          <w:szCs w:val="24"/>
        </w:rPr>
        <w:t xml:space="preserve">Admission to Level 9 (80 </w:t>
      </w:r>
      <w:proofErr w:type="gramStart"/>
      <w:r>
        <w:rPr>
          <w:b/>
          <w:i/>
          <w:sz w:val="24"/>
          <w:szCs w:val="24"/>
        </w:rPr>
        <w:t>Unit</w:t>
      </w:r>
      <w:proofErr w:type="gramEnd"/>
      <w:r>
        <w:rPr>
          <w:b/>
          <w:i/>
          <w:sz w:val="24"/>
          <w:szCs w:val="24"/>
        </w:rPr>
        <w:t>) Programs</w:t>
      </w:r>
      <w:r w:rsidRPr="00C02AA0">
        <w:rPr>
          <w:b/>
          <w:i/>
          <w:sz w:val="24"/>
          <w:szCs w:val="24"/>
        </w:rPr>
        <w:t>:</w:t>
      </w:r>
    </w:p>
    <w:p w:rsidR="006921E4" w:rsidRPr="00A815D3" w:rsidRDefault="00CA1139" w:rsidP="00A815D3">
      <w:r>
        <w:t>Admission into a Level 9</w:t>
      </w:r>
      <w:r w:rsidR="006921E4" w:rsidRPr="00A815D3">
        <w:t xml:space="preserve"> </w:t>
      </w:r>
      <w:r>
        <w:t xml:space="preserve">(80 unit) </w:t>
      </w:r>
      <w:r w:rsidR="004A6E4E">
        <w:t xml:space="preserve">coursework </w:t>
      </w:r>
      <w:r>
        <w:t>masters degree</w:t>
      </w:r>
      <w:r w:rsidR="006921E4" w:rsidRPr="00A815D3">
        <w:t xml:space="preserve"> can take the following form</w:t>
      </w:r>
      <w:r>
        <w:t xml:space="preserve"> where a student has</w:t>
      </w:r>
      <w:r w:rsidR="005E2D9E">
        <w:t xml:space="preserve"> a</w:t>
      </w:r>
      <w:r>
        <w:t xml:space="preserve"> </w:t>
      </w:r>
      <w:r w:rsidR="005E2D9E">
        <w:rPr>
          <w:i/>
        </w:rPr>
        <w:t>Level 8 qualification</w:t>
      </w:r>
      <w:r>
        <w:t>:</w:t>
      </w:r>
    </w:p>
    <w:p w:rsidR="00713EC0" w:rsidRDefault="00713EC0" w:rsidP="00313695">
      <w:pPr>
        <w:pStyle w:val="ListParagraph"/>
        <w:numPr>
          <w:ilvl w:val="0"/>
          <w:numId w:val="2"/>
        </w:numPr>
      </w:pPr>
      <w:r>
        <w:t xml:space="preserve">Where the admission criteria </w:t>
      </w:r>
      <w:r w:rsidR="00F83E71">
        <w:t>are</w:t>
      </w:r>
      <w:r>
        <w:t xml:space="preserve"> no less than a 4 year Bachelor (Honours) (320 u</w:t>
      </w:r>
      <w:r w:rsidR="00CA1139">
        <w:t xml:space="preserve">nits) program in a cognate area – no RPL </w:t>
      </w:r>
      <w:r w:rsidR="00B55722">
        <w:t xml:space="preserve">is </w:t>
      </w:r>
      <w:r w:rsidR="00CA1139">
        <w:t>needed</w:t>
      </w:r>
      <w:r>
        <w:t>;</w:t>
      </w:r>
      <w:r>
        <w:br/>
      </w:r>
    </w:p>
    <w:p w:rsidR="00CF1F24" w:rsidRDefault="00713EC0" w:rsidP="00713EC0">
      <w:pPr>
        <w:pStyle w:val="ListParagraph"/>
        <w:numPr>
          <w:ilvl w:val="0"/>
          <w:numId w:val="2"/>
        </w:numPr>
      </w:pPr>
      <w:r>
        <w:t xml:space="preserve">Where the admission criteria </w:t>
      </w:r>
      <w:r w:rsidR="00F83E71">
        <w:t>are</w:t>
      </w:r>
      <w:r>
        <w:t xml:space="preserve"> no less than a 1 year Graduate Diploma (80 units) in a cognate area</w:t>
      </w:r>
      <w:r w:rsidR="00CA1139">
        <w:t xml:space="preserve"> – no RPL needed;</w:t>
      </w:r>
      <w:r w:rsidR="00CF1F24">
        <w:br/>
      </w:r>
    </w:p>
    <w:p w:rsidR="00713EC0" w:rsidRDefault="00CF1F24" w:rsidP="00713EC0">
      <w:pPr>
        <w:pStyle w:val="ListParagraph"/>
        <w:numPr>
          <w:ilvl w:val="0"/>
          <w:numId w:val="2"/>
        </w:numPr>
      </w:pPr>
      <w:r>
        <w:t>Where admission criteria</w:t>
      </w:r>
      <w:r w:rsidR="00F83E71">
        <w:t xml:space="preserve"> are</w:t>
      </w:r>
      <w:r>
        <w:t xml:space="preserve"> no less than an Honours degree (80 units) in a cognate area</w:t>
      </w:r>
      <w:r w:rsidR="00F24508">
        <w:t xml:space="preserve"> – no RPL needed;</w:t>
      </w:r>
      <w:r w:rsidR="00713EC0">
        <w:br/>
      </w:r>
    </w:p>
    <w:p w:rsidR="00713EC0" w:rsidRDefault="0022531B" w:rsidP="00713EC0">
      <w:pPr>
        <w:pStyle w:val="ListParagraph"/>
        <w:numPr>
          <w:ilvl w:val="0"/>
          <w:numId w:val="2"/>
        </w:numPr>
      </w:pPr>
      <w:r>
        <w:t xml:space="preserve">Where the admission criteria </w:t>
      </w:r>
      <w:r w:rsidR="00F83E71">
        <w:t>are</w:t>
      </w:r>
      <w:r w:rsidR="00713EC0">
        <w:t xml:space="preserve"> no less than a 40 unit Graduate Certificate in </w:t>
      </w:r>
      <w:r w:rsidR="00791A40">
        <w:t xml:space="preserve">a </w:t>
      </w:r>
      <w:r w:rsidR="00713EC0">
        <w:t xml:space="preserve">cognate area </w:t>
      </w:r>
      <w:r w:rsidR="005E2D9E">
        <w:rPr>
          <w:b/>
        </w:rPr>
        <w:t>-</w:t>
      </w:r>
      <w:r w:rsidR="00713EC0">
        <w:t xml:space="preserve"> RPL to the minimum value of 40 units</w:t>
      </w:r>
      <w:r w:rsidR="005E2D9E">
        <w:t xml:space="preserve"> must</w:t>
      </w:r>
      <w:r w:rsidR="00C1591B">
        <w:t xml:space="preserve"> also</w:t>
      </w:r>
      <w:r w:rsidR="005E2D9E">
        <w:t xml:space="preserve"> be demonstrated</w:t>
      </w:r>
      <w:r w:rsidR="004A6E4E">
        <w:t>.</w:t>
      </w:r>
      <w:r w:rsidR="00467A99">
        <w:t xml:space="preserve"> </w:t>
      </w:r>
      <w:r w:rsidR="00713EC0">
        <w:br/>
      </w:r>
    </w:p>
    <w:p w:rsidR="00A815D3" w:rsidRDefault="007C7396" w:rsidP="00A815D3">
      <w:r>
        <w:t xml:space="preserve">Where a student has a </w:t>
      </w:r>
      <w:r w:rsidRPr="005E2D9E">
        <w:rPr>
          <w:i/>
        </w:rPr>
        <w:t>Level 7 qualification</w:t>
      </w:r>
      <w:r>
        <w:t xml:space="preserve"> in an </w:t>
      </w:r>
      <w:r w:rsidRPr="00313695">
        <w:rPr>
          <w:i/>
        </w:rPr>
        <w:t>aligned discipline</w:t>
      </w:r>
      <w:r>
        <w:t xml:space="preserve">, admission may be </w:t>
      </w:r>
      <w:r w:rsidR="00B579DE">
        <w:t>via</w:t>
      </w:r>
      <w:r w:rsidR="00313695">
        <w:t xml:space="preserve"> a Graduate Certificate which PCAC has approved as providing learning outcomes that build on </w:t>
      </w:r>
      <w:r w:rsidR="00BF1FF5">
        <w:t xml:space="preserve">recognised </w:t>
      </w:r>
      <w:r w:rsidR="00313695">
        <w:t>prior learning in a non-cognate discipline to the extent that the Graduate Certificate</w:t>
      </w:r>
      <w:r w:rsidR="00BF1FF5">
        <w:t xml:space="preserve"> and </w:t>
      </w:r>
      <w:r w:rsidR="00C1591B">
        <w:t>the</w:t>
      </w:r>
      <w:r w:rsidR="00BF1FF5">
        <w:t xml:space="preserve"> prior learning subsequently meet</w:t>
      </w:r>
      <w:r w:rsidR="00313695">
        <w:t xml:space="preserve"> the requirement of </w:t>
      </w:r>
      <w:r w:rsidR="00C1591B">
        <w:t>for Level 8 admission to Level 9 (80 unit) programs as outlined</w:t>
      </w:r>
      <w:r w:rsidR="00313695">
        <w:t xml:space="preserve"> above</w:t>
      </w:r>
      <w:r w:rsidR="00BF1FF5">
        <w:t>.</w:t>
      </w:r>
      <w:r w:rsidR="00C1591B">
        <w:t xml:space="preserve">  Where work experience is used for RPL, the necessary volume of prior learning must be specified and would normally not be expected to be less than two years equivalent work experience in a </w:t>
      </w:r>
      <w:r w:rsidR="003D77E2">
        <w:t>relevant</w:t>
      </w:r>
      <w:r w:rsidR="00C1591B">
        <w:t xml:space="preserve"> area.</w:t>
      </w:r>
      <w:r w:rsidR="00E130BB">
        <w:t xml:space="preserve">  Where a short course is used to supplement RPL and provide a means for students to demonstrate the necessary learning outcomes for admission, such a short course would normally at a minimum be expected to cover material relating to academic learning skills as well as discipline specific material.</w:t>
      </w:r>
    </w:p>
    <w:p w:rsidR="00A815D3" w:rsidRDefault="00A815D3" w:rsidP="00A815D3"/>
    <w:p w:rsidR="00BA043C" w:rsidRPr="00BA043C" w:rsidRDefault="00BA043C" w:rsidP="00A815D3">
      <w:pPr>
        <w:rPr>
          <w:b/>
          <w:i/>
        </w:rPr>
      </w:pPr>
      <w:r w:rsidRPr="00BA043C">
        <w:rPr>
          <w:b/>
          <w:i/>
        </w:rPr>
        <w:t>Essential supporting documents:</w:t>
      </w:r>
    </w:p>
    <w:p w:rsidR="001C73B2" w:rsidRDefault="00BA043C" w:rsidP="001C73B2">
      <w:pPr>
        <w:pStyle w:val="ListParagraph"/>
        <w:numPr>
          <w:ilvl w:val="0"/>
          <w:numId w:val="6"/>
        </w:numPr>
      </w:pPr>
      <w:r>
        <w:t xml:space="preserve">AQF Level 9 Masters Points to Note </w:t>
      </w:r>
      <w:r w:rsidR="008A2520">
        <w:t>particularly for admission</w:t>
      </w:r>
      <w:r>
        <w:t>– Attachment 1.</w:t>
      </w:r>
    </w:p>
    <w:p w:rsidR="001C73B2" w:rsidRPr="001C73B2" w:rsidRDefault="001C73B2" w:rsidP="001C73B2">
      <w:pPr>
        <w:spacing w:after="0" w:line="240" w:lineRule="auto"/>
        <w:rPr>
          <w:sz w:val="16"/>
          <w:szCs w:val="16"/>
        </w:rPr>
      </w:pPr>
      <w:r w:rsidRPr="001C73B2">
        <w:rPr>
          <w:sz w:val="16"/>
          <w:szCs w:val="16"/>
        </w:rPr>
        <w:t>Information as at 5 September 2013</w:t>
      </w:r>
    </w:p>
    <w:p w:rsidR="001C73B2" w:rsidRDefault="001C73B2" w:rsidP="001C73B2">
      <w:pPr>
        <w:spacing w:after="0" w:line="240" w:lineRule="auto"/>
        <w:rPr>
          <w:sz w:val="16"/>
          <w:szCs w:val="16"/>
        </w:rPr>
      </w:pPr>
      <w:r w:rsidRPr="001C73B2">
        <w:rPr>
          <w:sz w:val="16"/>
          <w:szCs w:val="16"/>
        </w:rPr>
        <w:t xml:space="preserve">Developed by Professor Andrew </w:t>
      </w:r>
      <w:proofErr w:type="spellStart"/>
      <w:r w:rsidRPr="001C73B2">
        <w:rPr>
          <w:sz w:val="16"/>
          <w:szCs w:val="16"/>
        </w:rPr>
        <w:t>Parfitt</w:t>
      </w:r>
      <w:proofErr w:type="spellEnd"/>
      <w:r w:rsidRPr="001C73B2">
        <w:rPr>
          <w:sz w:val="16"/>
          <w:szCs w:val="16"/>
        </w:rPr>
        <w:t>, Professor Val Robertson and Professor Bill Hogarth</w:t>
      </w:r>
    </w:p>
    <w:p w:rsidR="00946CD5" w:rsidRPr="001C73B2" w:rsidRDefault="00946CD5" w:rsidP="001C73B2">
      <w:pPr>
        <w:spacing w:after="0" w:line="240" w:lineRule="auto"/>
        <w:rPr>
          <w:sz w:val="16"/>
          <w:szCs w:val="16"/>
        </w:rPr>
      </w:pPr>
      <w:r>
        <w:rPr>
          <w:sz w:val="16"/>
          <w:szCs w:val="16"/>
        </w:rPr>
        <w:t>Updated by Chair and Secretary, PCAC on 7 September 2013, following PCAC meeting on 5 September 2013</w:t>
      </w:r>
    </w:p>
    <w:p w:rsidR="00712B16" w:rsidRDefault="006308AA" w:rsidP="00712B16">
      <w:r>
        <w:br w:type="page"/>
      </w:r>
      <w:r w:rsidR="00ED6BC8">
        <w:rPr>
          <w:rFonts w:cs="Arial"/>
          <w:b/>
          <w:bCs/>
        </w:rPr>
        <w:lastRenderedPageBreak/>
        <w:pict>
          <v:shapetype id="_x0000_t202" coordsize="21600,21600" o:spt="202" path="m,l,21600r21600,l21600,xe">
            <v:stroke joinstyle="miter"/>
            <v:path gradientshapeok="t" o:connecttype="rect"/>
          </v:shapetype>
          <v:shape id="Text Box 3" o:spid="_x0000_s1026" type="#_x0000_t202" style="position:absolute;margin-left:367.8pt;margin-top:31.8pt;width:195pt;height:20.9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">
            <v:textbox>
              <w:txbxContent>
                <w:p w:rsidR="00712B16" w:rsidRPr="00EC37AD" w:rsidRDefault="00ED6BC8" w:rsidP="00712B16">
                  <w:pPr>
                    <w:jc w:val="right"/>
                    <w:rPr>
                      <w:b/>
                    </w:rPr>
                  </w:pPr>
                  <w:r>
                    <w:rPr>
                      <w:b/>
                    </w:rPr>
                    <w:t xml:space="preserve">DOC PCAC13:068A - </w:t>
                  </w:r>
                  <w:r w:rsidR="00712B16" w:rsidRPr="00EC37AD">
                    <w:rPr>
                      <w:b/>
                    </w:rPr>
                    <w:t>Attachment 1</w:t>
                  </w:r>
                </w:p>
              </w:txbxContent>
            </v:textbox>
            <w10:wrap anchorx="page" anchory="page"/>
          </v:shape>
        </w:pict>
      </w:r>
    </w:p>
    <w:p w:rsidR="006308AA" w:rsidRPr="00946CD5" w:rsidRDefault="008C0E2B" w:rsidP="00946CD5">
      <w:pPr>
        <w:spacing w:after="0"/>
        <w:jc w:val="center"/>
        <w:rPr>
          <w:rFonts w:cs="Arial"/>
          <w:b/>
          <w:bCs/>
        </w:rPr>
      </w:pPr>
      <w:r>
        <w:rPr>
          <w:rFonts w:cs="Arial"/>
          <w:b/>
          <w:bCs/>
        </w:rPr>
        <w:pict>
          <v:shape id="Picture 7" o:spid="_x0000_s1028" type="#_x0000_t75" alt="UoN_logo_secondary" style="position:absolute;left:0;text-align:left;margin-left:59pt;margin-top:46.7pt;width:114.75pt;height:58.35pt;z-index:-251658752;visibility:visible;mso-position-horizontal-relative:page;mso-position-vertical-relative:page" wrapcoords="-282 0 -282 21100 21741 21100 21741 0 -282 0" o:allowincell="f">
            <v:imagedata r:id="rId9" o:title="UoN_logo_secondary"/>
            <w10:wrap type="through" anchorx="page" anchory="page"/>
          </v:shape>
        </w:pict>
      </w:r>
      <w:r w:rsidR="006308AA" w:rsidRPr="00946CD5">
        <w:rPr>
          <w:rFonts w:cs="Arial"/>
          <w:b/>
          <w:bCs/>
        </w:rPr>
        <w:t>PROGRAM AND COURSE APPROVAL COMMITTEE</w:t>
      </w:r>
    </w:p>
    <w:p w:rsidR="006308AA" w:rsidRPr="006308AA" w:rsidRDefault="006308AA" w:rsidP="00712B16">
      <w:pPr>
        <w:jc w:val="center"/>
        <w:rPr>
          <w:rFonts w:cs="Arial"/>
          <w:b/>
          <w:bCs/>
        </w:rPr>
      </w:pPr>
      <w:r>
        <w:rPr>
          <w:rFonts w:cs="Arial"/>
          <w:b/>
          <w:bCs/>
        </w:rPr>
        <w:t>AQF LEVEL 9 – MASTERS</w:t>
      </w:r>
      <w:r w:rsidR="001C73B2">
        <w:rPr>
          <w:rFonts w:cs="Arial"/>
          <w:b/>
          <w:bCs/>
        </w:rPr>
        <w:t xml:space="preserve">: </w:t>
      </w:r>
      <w:r>
        <w:rPr>
          <w:rFonts w:cs="Arial"/>
          <w:b/>
          <w:bCs/>
        </w:rPr>
        <w:t>POINTS TO NOTE</w:t>
      </w:r>
    </w:p>
    <w:p w:rsidR="006308AA" w:rsidRPr="002F470C" w:rsidRDefault="006308AA" w:rsidP="006308AA">
      <w:pPr>
        <w:spacing w:after="0" w:line="240" w:lineRule="auto"/>
        <w:rPr>
          <w:rFonts w:cs="Arial"/>
          <w:bCs/>
          <w:u w:val="single"/>
        </w:rPr>
      </w:pPr>
      <w:r w:rsidRPr="002F470C">
        <w:rPr>
          <w:rFonts w:cs="Arial"/>
          <w:b/>
          <w:u w:val="single"/>
        </w:rPr>
        <w:t xml:space="preserve">Volume of Learning and Recognition of Prior Learning (RPL) </w:t>
      </w:r>
    </w:p>
    <w:p w:rsidR="006308AA" w:rsidRPr="006308AA" w:rsidRDefault="006308AA" w:rsidP="006308AA">
      <w:pPr>
        <w:spacing w:after="0" w:line="240" w:lineRule="auto"/>
        <w:ind w:right="-613"/>
        <w:rPr>
          <w:rFonts w:cs="Arial"/>
        </w:rPr>
      </w:pPr>
      <w:r w:rsidRPr="002F470C">
        <w:rPr>
          <w:rFonts w:cs="Arial"/>
          <w:bCs/>
        </w:rPr>
        <w:t>A key</w:t>
      </w:r>
      <w:r w:rsidRPr="002F470C">
        <w:rPr>
          <w:rFonts w:cs="Arial"/>
        </w:rPr>
        <w:t xml:space="preserve"> issue in the AQF is the volume of learning </w:t>
      </w:r>
      <w:r w:rsidRPr="001362AB">
        <w:rPr>
          <w:rFonts w:cs="Arial"/>
        </w:rPr>
        <w:t>completed by a student</w:t>
      </w:r>
      <w:r w:rsidRPr="002F470C">
        <w:rPr>
          <w:rFonts w:cs="Arial"/>
        </w:rPr>
        <w:t xml:space="preserve"> </w:t>
      </w:r>
      <w:r>
        <w:rPr>
          <w:rFonts w:cs="Arial"/>
        </w:rPr>
        <w:t xml:space="preserve">at the end of a degree. </w:t>
      </w:r>
      <w:r w:rsidRPr="002F470C">
        <w:rPr>
          <w:rFonts w:cs="Arial"/>
        </w:rPr>
        <w:t xml:space="preserve">This also means the volume of learning the student has on entry is important.  The Faculties therefore need to provide evidence of entry standards.  Hence the following may be useful in </w:t>
      </w:r>
      <w:r w:rsidRPr="001362AB">
        <w:rPr>
          <w:rFonts w:cs="Arial"/>
        </w:rPr>
        <w:t xml:space="preserve">determining the </w:t>
      </w:r>
      <w:r w:rsidRPr="002F470C">
        <w:rPr>
          <w:rFonts w:cs="Arial"/>
        </w:rPr>
        <w:t xml:space="preserve">volume of learning for a Masters program (note:  RRL is </w:t>
      </w:r>
      <w:r w:rsidRPr="002F470C">
        <w:rPr>
          <w:rFonts w:cs="Arial"/>
          <w:i/>
        </w:rPr>
        <w:t>Recognition of Prior Learning</w:t>
      </w:r>
      <w:r>
        <w:rPr>
          <w:rFonts w:cs="Arial"/>
        </w:rPr>
        <w:t>):</w:t>
      </w:r>
      <w:r>
        <w:rPr>
          <w:rFonts w:cs="Arial"/>
        </w:rPr>
        <w:br/>
      </w:r>
    </w:p>
    <w:p w:rsidR="006308AA" w:rsidRPr="002F470C" w:rsidRDefault="006308AA" w:rsidP="006308AA">
      <w:pPr>
        <w:spacing w:after="0" w:line="240" w:lineRule="auto"/>
        <w:rPr>
          <w:rFonts w:cs="Arial"/>
          <w:u w:val="single"/>
        </w:rPr>
      </w:pPr>
      <w:r w:rsidRPr="002F470C">
        <w:rPr>
          <w:rFonts w:cs="Arial"/>
          <w:u w:val="single"/>
        </w:rPr>
        <w:t>At Entry</w:t>
      </w:r>
      <w:r w:rsidRPr="002F470C">
        <w:rPr>
          <w:rFonts w:cs="Arial"/>
        </w:rPr>
        <w:tab/>
      </w:r>
      <w:r w:rsidRPr="002F470C">
        <w:rPr>
          <w:rFonts w:cs="Arial"/>
        </w:rPr>
        <w:tab/>
      </w:r>
      <w:r w:rsidRPr="002F470C">
        <w:rPr>
          <w:rFonts w:cs="Arial"/>
        </w:rPr>
        <w:tab/>
      </w:r>
      <w:r w:rsidRPr="002F470C">
        <w:rPr>
          <w:rFonts w:cs="Arial"/>
        </w:rPr>
        <w:tab/>
      </w:r>
      <w:r w:rsidRPr="002F470C">
        <w:rPr>
          <w:rFonts w:cs="Arial"/>
        </w:rPr>
        <w:tab/>
      </w:r>
      <w:r w:rsidRPr="002F470C">
        <w:rPr>
          <w:rFonts w:cs="Arial"/>
        </w:rPr>
        <w:tab/>
      </w:r>
      <w:r w:rsidRPr="002F470C">
        <w:rPr>
          <w:rFonts w:cs="Arial"/>
        </w:rPr>
        <w:tab/>
      </w:r>
      <w:r w:rsidRPr="002F470C">
        <w:rPr>
          <w:rFonts w:cs="Arial"/>
        </w:rPr>
        <w:tab/>
      </w:r>
      <w:r w:rsidRPr="002F470C">
        <w:rPr>
          <w:rFonts w:cs="Arial"/>
          <w:u w:val="single"/>
        </w:rPr>
        <w:t>Masters Structure</w:t>
      </w:r>
    </w:p>
    <w:p w:rsidR="006308AA" w:rsidRPr="002F470C" w:rsidRDefault="006308AA" w:rsidP="006308AA">
      <w:pPr>
        <w:spacing w:after="0" w:line="240" w:lineRule="auto"/>
        <w:rPr>
          <w:rFonts w:cs="Arial"/>
        </w:rPr>
      </w:pPr>
      <w:r w:rsidRPr="002F470C">
        <w:rPr>
          <w:rFonts w:cs="Arial"/>
        </w:rPr>
        <w:t>240 unit, level 7, award (non</w:t>
      </w:r>
      <w:r w:rsidR="0022531B">
        <w:rPr>
          <w:rFonts w:cs="Arial"/>
        </w:rPr>
        <w:t>-</w:t>
      </w:r>
      <w:r w:rsidRPr="002F470C">
        <w:rPr>
          <w:rFonts w:cs="Arial"/>
        </w:rPr>
        <w:t>cognate area)</w:t>
      </w:r>
      <w:r w:rsidRPr="002F470C">
        <w:rPr>
          <w:rFonts w:cs="Arial"/>
        </w:rPr>
        <w:tab/>
      </w:r>
      <w:r w:rsidRPr="002F470C">
        <w:rPr>
          <w:rFonts w:cs="Arial"/>
        </w:rPr>
        <w:tab/>
      </w:r>
      <w:r w:rsidRPr="002F470C">
        <w:rPr>
          <w:rFonts w:cs="Arial"/>
        </w:rPr>
        <w:tab/>
      </w:r>
      <w:r w:rsidRPr="002F470C">
        <w:rPr>
          <w:rFonts w:cs="Arial"/>
        </w:rPr>
        <w:tab/>
        <w:t>160 units</w:t>
      </w:r>
    </w:p>
    <w:p w:rsidR="006308AA" w:rsidRDefault="006308AA" w:rsidP="006308AA">
      <w:pPr>
        <w:spacing w:after="0" w:line="240" w:lineRule="auto"/>
        <w:rPr>
          <w:rFonts w:cs="Arial"/>
        </w:rPr>
      </w:pPr>
      <w:r w:rsidRPr="002F470C">
        <w:rPr>
          <w:rFonts w:cs="Arial"/>
        </w:rPr>
        <w:t>240 unit, level 7, award (cognate area)</w:t>
      </w:r>
      <w:r w:rsidRPr="002F470C">
        <w:rPr>
          <w:rFonts w:cs="Arial"/>
        </w:rPr>
        <w:tab/>
      </w:r>
      <w:r w:rsidRPr="002F470C">
        <w:rPr>
          <w:rFonts w:cs="Arial"/>
        </w:rPr>
        <w:tab/>
      </w:r>
      <w:r w:rsidRPr="002F470C">
        <w:rPr>
          <w:rFonts w:cs="Arial"/>
        </w:rPr>
        <w:tab/>
      </w:r>
      <w:r w:rsidRPr="002F470C">
        <w:rPr>
          <w:rFonts w:cs="Arial"/>
        </w:rPr>
        <w:tab/>
      </w:r>
      <w:r w:rsidRPr="002F470C">
        <w:rPr>
          <w:rFonts w:cs="Arial"/>
        </w:rPr>
        <w:tab/>
        <w:t>120 units</w:t>
      </w:r>
    </w:p>
    <w:p w:rsidR="001C73B2" w:rsidRDefault="001C73B2" w:rsidP="006308AA">
      <w:pPr>
        <w:spacing w:after="0" w:line="240" w:lineRule="auto"/>
        <w:rPr>
          <w:rFonts w:cs="Arial"/>
        </w:rPr>
      </w:pPr>
      <w:r>
        <w:rPr>
          <w:rFonts w:cs="Arial"/>
        </w:rPr>
        <w:t>240 unit, level 7, award (cognate area) with RPL</w:t>
      </w:r>
      <w:r>
        <w:rPr>
          <w:rFonts w:cs="Arial"/>
        </w:rPr>
        <w:tab/>
      </w:r>
      <w:r>
        <w:rPr>
          <w:rFonts w:cs="Arial"/>
        </w:rPr>
        <w:tab/>
      </w:r>
      <w:r>
        <w:rPr>
          <w:rFonts w:cs="Arial"/>
        </w:rPr>
        <w:tab/>
      </w:r>
      <w:r>
        <w:rPr>
          <w:rFonts w:cs="Arial"/>
        </w:rPr>
        <w:tab/>
        <w:t xml:space="preserve">  80 units</w:t>
      </w:r>
    </w:p>
    <w:p w:rsidR="001C73B2" w:rsidRPr="001C73B2" w:rsidRDefault="001C73B2" w:rsidP="001C73B2">
      <w:pPr>
        <w:spacing w:after="0" w:line="240" w:lineRule="auto"/>
        <w:rPr>
          <w:rFonts w:cs="Arial"/>
        </w:rPr>
      </w:pPr>
      <w:r w:rsidRPr="001C73B2">
        <w:rPr>
          <w:rFonts w:cs="Arial"/>
        </w:rPr>
        <w:t>240 unit, level 7, award (</w:t>
      </w:r>
      <w:r>
        <w:rPr>
          <w:rFonts w:cs="Arial"/>
        </w:rPr>
        <w:t>non-</w:t>
      </w:r>
      <w:r w:rsidRPr="001C73B2">
        <w:rPr>
          <w:rFonts w:cs="Arial"/>
        </w:rPr>
        <w:t>cognate area) with RPL</w:t>
      </w:r>
      <w:r w:rsidRPr="001C73B2">
        <w:rPr>
          <w:rFonts w:cs="Arial"/>
        </w:rPr>
        <w:tab/>
      </w:r>
      <w:r w:rsidRPr="001C73B2">
        <w:rPr>
          <w:rFonts w:cs="Arial"/>
        </w:rPr>
        <w:tab/>
      </w:r>
      <w:r w:rsidRPr="001C73B2">
        <w:rPr>
          <w:rFonts w:cs="Arial"/>
        </w:rPr>
        <w:tab/>
      </w:r>
      <w:r>
        <w:rPr>
          <w:rFonts w:cs="Arial"/>
        </w:rPr>
        <w:t>12</w:t>
      </w:r>
      <w:r w:rsidRPr="001C73B2">
        <w:rPr>
          <w:rFonts w:cs="Arial"/>
        </w:rPr>
        <w:t>0 units</w:t>
      </w:r>
    </w:p>
    <w:p w:rsidR="006308AA" w:rsidRPr="002F470C" w:rsidRDefault="006308AA" w:rsidP="006308AA">
      <w:pPr>
        <w:spacing w:after="0" w:line="240" w:lineRule="auto"/>
        <w:rPr>
          <w:rFonts w:cs="Arial"/>
        </w:rPr>
      </w:pPr>
      <w:r w:rsidRPr="002F470C">
        <w:rPr>
          <w:rFonts w:cs="Arial"/>
        </w:rPr>
        <w:t>320 unit, level 8, award (non</w:t>
      </w:r>
      <w:r w:rsidR="0022531B">
        <w:rPr>
          <w:rFonts w:cs="Arial"/>
        </w:rPr>
        <w:t>-</w:t>
      </w:r>
      <w:r w:rsidRPr="002F470C">
        <w:rPr>
          <w:rFonts w:cs="Arial"/>
        </w:rPr>
        <w:t>cognate area)</w:t>
      </w:r>
      <w:r w:rsidRPr="002F470C">
        <w:rPr>
          <w:rFonts w:cs="Arial"/>
        </w:rPr>
        <w:tab/>
      </w:r>
      <w:r w:rsidRPr="002F470C">
        <w:rPr>
          <w:rFonts w:cs="Arial"/>
        </w:rPr>
        <w:tab/>
      </w:r>
      <w:r w:rsidRPr="002F470C">
        <w:rPr>
          <w:rFonts w:cs="Arial"/>
        </w:rPr>
        <w:tab/>
      </w:r>
      <w:r w:rsidRPr="002F470C">
        <w:rPr>
          <w:rFonts w:cs="Arial"/>
        </w:rPr>
        <w:tab/>
        <w:t>120 units</w:t>
      </w:r>
    </w:p>
    <w:p w:rsidR="006308AA" w:rsidRPr="002F470C" w:rsidRDefault="006308AA" w:rsidP="006308AA">
      <w:pPr>
        <w:spacing w:after="0" w:line="240" w:lineRule="auto"/>
        <w:rPr>
          <w:rFonts w:cs="Arial"/>
        </w:rPr>
      </w:pPr>
      <w:r w:rsidRPr="002F470C">
        <w:rPr>
          <w:rFonts w:cs="Arial"/>
        </w:rPr>
        <w:t>320 unit, level 8, award (cognate area)</w:t>
      </w:r>
      <w:r w:rsidRPr="002F470C">
        <w:rPr>
          <w:rFonts w:cs="Arial"/>
        </w:rPr>
        <w:tab/>
      </w:r>
      <w:r w:rsidRPr="002F470C">
        <w:rPr>
          <w:rFonts w:cs="Arial"/>
        </w:rPr>
        <w:tab/>
      </w:r>
      <w:r w:rsidRPr="002F470C">
        <w:rPr>
          <w:rFonts w:cs="Arial"/>
        </w:rPr>
        <w:tab/>
      </w:r>
      <w:r w:rsidRPr="002F470C">
        <w:rPr>
          <w:rFonts w:cs="Arial"/>
        </w:rPr>
        <w:tab/>
      </w:r>
      <w:r w:rsidRPr="002F470C">
        <w:rPr>
          <w:rFonts w:cs="Arial"/>
        </w:rPr>
        <w:tab/>
        <w:t xml:space="preserve"> </w:t>
      </w:r>
      <w:r w:rsidR="0022531B">
        <w:rPr>
          <w:rFonts w:cs="Arial"/>
        </w:rPr>
        <w:t xml:space="preserve"> </w:t>
      </w:r>
      <w:r w:rsidRPr="002F470C">
        <w:rPr>
          <w:rFonts w:cs="Arial"/>
        </w:rPr>
        <w:t>80 units</w:t>
      </w:r>
    </w:p>
    <w:p w:rsidR="006308AA" w:rsidRPr="002F470C" w:rsidRDefault="006308AA" w:rsidP="006308AA">
      <w:pPr>
        <w:spacing w:after="0" w:line="240" w:lineRule="auto"/>
        <w:rPr>
          <w:rFonts w:cs="Arial"/>
        </w:rPr>
      </w:pPr>
      <w:r w:rsidRPr="002F470C">
        <w:rPr>
          <w:rFonts w:cs="Arial"/>
        </w:rPr>
        <w:t xml:space="preserve">  80 unit, level 8, honours award (non</w:t>
      </w:r>
      <w:r w:rsidR="0022531B">
        <w:rPr>
          <w:rFonts w:cs="Arial"/>
        </w:rPr>
        <w:t>-</w:t>
      </w:r>
      <w:r w:rsidRPr="002F470C">
        <w:rPr>
          <w:rFonts w:cs="Arial"/>
        </w:rPr>
        <w:t>cognate area)</w:t>
      </w:r>
      <w:r w:rsidRPr="002F470C">
        <w:rPr>
          <w:rFonts w:cs="Arial"/>
        </w:rPr>
        <w:tab/>
      </w:r>
      <w:r w:rsidRPr="002F470C">
        <w:rPr>
          <w:rFonts w:cs="Arial"/>
        </w:rPr>
        <w:tab/>
      </w:r>
      <w:r w:rsidRPr="002F470C">
        <w:rPr>
          <w:rFonts w:cs="Arial"/>
        </w:rPr>
        <w:tab/>
        <w:t>120 units</w:t>
      </w:r>
    </w:p>
    <w:p w:rsidR="006308AA" w:rsidRPr="002F470C" w:rsidRDefault="006308AA" w:rsidP="006308AA">
      <w:pPr>
        <w:spacing w:after="0" w:line="240" w:lineRule="auto"/>
        <w:rPr>
          <w:rFonts w:cs="Arial"/>
        </w:rPr>
      </w:pPr>
      <w:r w:rsidRPr="002F470C">
        <w:rPr>
          <w:rFonts w:cs="Arial"/>
        </w:rPr>
        <w:t xml:space="preserve">  80 unit, level 8, honours award (cognate area)</w:t>
      </w:r>
      <w:r w:rsidRPr="002F470C">
        <w:rPr>
          <w:rFonts w:cs="Arial"/>
        </w:rPr>
        <w:tab/>
      </w:r>
      <w:r w:rsidRPr="002F470C">
        <w:rPr>
          <w:rFonts w:cs="Arial"/>
        </w:rPr>
        <w:tab/>
      </w:r>
      <w:r w:rsidRPr="002F470C">
        <w:rPr>
          <w:rFonts w:cs="Arial"/>
        </w:rPr>
        <w:tab/>
        <w:t xml:space="preserve">  </w:t>
      </w:r>
      <w:r w:rsidRPr="002F470C">
        <w:rPr>
          <w:rFonts w:cs="Arial"/>
        </w:rPr>
        <w:tab/>
      </w:r>
      <w:r w:rsidR="0022531B">
        <w:rPr>
          <w:rFonts w:cs="Arial"/>
        </w:rPr>
        <w:t xml:space="preserve">  </w:t>
      </w:r>
      <w:r w:rsidRPr="002F470C">
        <w:rPr>
          <w:rFonts w:cs="Arial"/>
        </w:rPr>
        <w:t>80 units</w:t>
      </w:r>
    </w:p>
    <w:p w:rsidR="006308AA" w:rsidRPr="002F470C" w:rsidRDefault="006308AA" w:rsidP="006308AA">
      <w:pPr>
        <w:spacing w:after="0" w:line="240" w:lineRule="auto"/>
        <w:rPr>
          <w:rFonts w:cs="Arial"/>
        </w:rPr>
      </w:pPr>
      <w:r w:rsidRPr="002F470C">
        <w:rPr>
          <w:rFonts w:cs="Arial"/>
        </w:rPr>
        <w:t xml:space="preserve">  80 unit, level 8, Grad Diploma (non</w:t>
      </w:r>
      <w:r w:rsidR="0022531B">
        <w:rPr>
          <w:rFonts w:cs="Arial"/>
        </w:rPr>
        <w:t>-</w:t>
      </w:r>
      <w:r w:rsidRPr="002F470C">
        <w:rPr>
          <w:rFonts w:cs="Arial"/>
        </w:rPr>
        <w:t>cognate area)</w:t>
      </w:r>
      <w:r w:rsidRPr="002F470C">
        <w:rPr>
          <w:rFonts w:cs="Arial"/>
        </w:rPr>
        <w:tab/>
      </w:r>
      <w:r w:rsidRPr="002F470C">
        <w:rPr>
          <w:rFonts w:cs="Arial"/>
        </w:rPr>
        <w:tab/>
      </w:r>
      <w:r w:rsidRPr="002F470C">
        <w:rPr>
          <w:rFonts w:cs="Arial"/>
        </w:rPr>
        <w:tab/>
        <w:t>120 units</w:t>
      </w:r>
    </w:p>
    <w:p w:rsidR="006308AA" w:rsidRPr="002F470C" w:rsidRDefault="006308AA" w:rsidP="006308AA">
      <w:pPr>
        <w:spacing w:after="0" w:line="240" w:lineRule="auto"/>
        <w:rPr>
          <w:rFonts w:cs="Arial"/>
        </w:rPr>
      </w:pPr>
      <w:r w:rsidRPr="002F470C">
        <w:rPr>
          <w:rFonts w:cs="Arial"/>
        </w:rPr>
        <w:t xml:space="preserve">  80 unit, level 8, Grad Diploma (cognate area)</w:t>
      </w:r>
      <w:r w:rsidRPr="002F470C">
        <w:rPr>
          <w:rFonts w:cs="Arial"/>
        </w:rPr>
        <w:tab/>
      </w:r>
      <w:r w:rsidRPr="002F470C">
        <w:rPr>
          <w:rFonts w:cs="Arial"/>
        </w:rPr>
        <w:tab/>
      </w:r>
      <w:r w:rsidRPr="002F470C">
        <w:rPr>
          <w:rFonts w:cs="Arial"/>
        </w:rPr>
        <w:tab/>
        <w:t xml:space="preserve">  </w:t>
      </w:r>
      <w:r w:rsidRPr="002F470C">
        <w:rPr>
          <w:rFonts w:cs="Arial"/>
        </w:rPr>
        <w:tab/>
      </w:r>
      <w:r w:rsidR="0022531B">
        <w:rPr>
          <w:rFonts w:cs="Arial"/>
        </w:rPr>
        <w:t xml:space="preserve">  </w:t>
      </w:r>
      <w:r w:rsidRPr="002F470C">
        <w:rPr>
          <w:rFonts w:cs="Arial"/>
        </w:rPr>
        <w:t>80 units</w:t>
      </w:r>
    </w:p>
    <w:p w:rsidR="006308AA" w:rsidRPr="002F470C" w:rsidRDefault="006308AA" w:rsidP="006308AA">
      <w:pPr>
        <w:spacing w:after="0" w:line="240" w:lineRule="auto"/>
        <w:rPr>
          <w:rFonts w:cs="Arial"/>
        </w:rPr>
      </w:pPr>
      <w:r w:rsidRPr="002F470C">
        <w:rPr>
          <w:rFonts w:cs="Arial"/>
        </w:rPr>
        <w:t xml:space="preserve">  40 unit, level 8, Grad Certificate (cognate) </w:t>
      </w:r>
      <w:r w:rsidRPr="001362AB">
        <w:rPr>
          <w:rFonts w:cs="Arial"/>
        </w:rPr>
        <w:t>with</w:t>
      </w:r>
      <w:r w:rsidRPr="002F470C">
        <w:rPr>
          <w:rFonts w:cs="Arial"/>
        </w:rPr>
        <w:t xml:space="preserve"> RPL</w:t>
      </w:r>
      <w:r w:rsidRPr="002F470C">
        <w:rPr>
          <w:rFonts w:cs="Arial"/>
        </w:rPr>
        <w:tab/>
      </w:r>
      <w:r w:rsidRPr="002F470C">
        <w:rPr>
          <w:rFonts w:cs="Arial"/>
        </w:rPr>
        <w:tab/>
        <w:t xml:space="preserve">  </w:t>
      </w:r>
      <w:r>
        <w:rPr>
          <w:rFonts w:cs="Arial"/>
        </w:rPr>
        <w:tab/>
      </w:r>
      <w:r w:rsidR="0022531B">
        <w:rPr>
          <w:rFonts w:cs="Arial"/>
        </w:rPr>
        <w:t xml:space="preserve">  </w:t>
      </w:r>
      <w:r w:rsidRPr="002F470C">
        <w:rPr>
          <w:rFonts w:cs="Arial"/>
        </w:rPr>
        <w:t>80 units</w:t>
      </w:r>
    </w:p>
    <w:p w:rsidR="006308AA" w:rsidRPr="002F470C" w:rsidRDefault="006308AA" w:rsidP="006308AA">
      <w:pPr>
        <w:spacing w:after="0" w:line="240" w:lineRule="auto"/>
        <w:rPr>
          <w:rFonts w:cs="Arial"/>
        </w:rPr>
      </w:pPr>
      <w:r w:rsidRPr="002F470C">
        <w:rPr>
          <w:rFonts w:cs="Arial"/>
        </w:rPr>
        <w:t xml:space="preserve">  40 unit, level 8, Grad Certificate (non</w:t>
      </w:r>
      <w:r w:rsidR="0022531B">
        <w:rPr>
          <w:rFonts w:cs="Arial"/>
        </w:rPr>
        <w:t>-</w:t>
      </w:r>
      <w:r w:rsidRPr="002F470C">
        <w:rPr>
          <w:rFonts w:cs="Arial"/>
        </w:rPr>
        <w:t>cognate area)</w:t>
      </w:r>
      <w:r w:rsidRPr="002F470C">
        <w:rPr>
          <w:rFonts w:cs="Arial"/>
        </w:rPr>
        <w:tab/>
      </w:r>
      <w:r w:rsidRPr="002F470C">
        <w:rPr>
          <w:rFonts w:cs="Arial"/>
        </w:rPr>
        <w:tab/>
      </w:r>
      <w:r w:rsidRPr="002F470C">
        <w:rPr>
          <w:rFonts w:cs="Arial"/>
        </w:rPr>
        <w:tab/>
        <w:t xml:space="preserve">120 units </w:t>
      </w:r>
    </w:p>
    <w:p w:rsidR="006308AA" w:rsidRPr="00946CD5" w:rsidRDefault="006308AA" w:rsidP="006308AA">
      <w:pPr>
        <w:spacing w:after="0" w:line="240" w:lineRule="auto"/>
        <w:rPr>
          <w:rFonts w:cs="Arial"/>
          <w:sz w:val="16"/>
          <w:szCs w:val="16"/>
        </w:rPr>
      </w:pPr>
    </w:p>
    <w:p w:rsidR="006308AA" w:rsidRPr="002F470C" w:rsidRDefault="006308AA" w:rsidP="006308AA">
      <w:pPr>
        <w:spacing w:after="0" w:line="240" w:lineRule="auto"/>
        <w:rPr>
          <w:rFonts w:cs="Arial"/>
        </w:rPr>
      </w:pPr>
      <w:r w:rsidRPr="002F470C">
        <w:rPr>
          <w:rFonts w:cs="Arial"/>
        </w:rPr>
        <w:t xml:space="preserve">Any entry arrangement which is not consistent with the above for </w:t>
      </w:r>
      <w:r w:rsidRPr="007A3CAF">
        <w:rPr>
          <w:rFonts w:cs="Arial"/>
        </w:rPr>
        <w:t>Masters’ p</w:t>
      </w:r>
      <w:r w:rsidRPr="002F470C">
        <w:rPr>
          <w:rFonts w:cs="Arial"/>
        </w:rPr>
        <w:t>rograms will need to be defensible, particularly where RPL is involved.</w:t>
      </w:r>
    </w:p>
    <w:p w:rsidR="006308AA" w:rsidRPr="00946CD5" w:rsidRDefault="006308AA" w:rsidP="006308AA">
      <w:pPr>
        <w:spacing w:after="0" w:line="240" w:lineRule="auto"/>
        <w:rPr>
          <w:rFonts w:cs="Arial"/>
          <w:sz w:val="16"/>
          <w:szCs w:val="16"/>
        </w:rPr>
      </w:pPr>
    </w:p>
    <w:p w:rsidR="006308AA" w:rsidRPr="002F470C" w:rsidRDefault="006308AA" w:rsidP="006308AA">
      <w:pPr>
        <w:spacing w:after="0" w:line="240" w:lineRule="auto"/>
        <w:rPr>
          <w:rFonts w:cs="Arial"/>
          <w:shd w:val="clear" w:color="auto" w:fill="D9D9D9"/>
        </w:rPr>
      </w:pPr>
      <w:r w:rsidRPr="002F470C">
        <w:rPr>
          <w:rFonts w:cs="Arial"/>
        </w:rPr>
        <w:t xml:space="preserve">The Faculties should develop templates for their RPL.  The Faculty </w:t>
      </w:r>
      <w:r w:rsidRPr="001362AB">
        <w:rPr>
          <w:rFonts w:cs="Arial"/>
        </w:rPr>
        <w:t>must describe RPL for each program and this must be approved</w:t>
      </w:r>
      <w:r w:rsidRPr="002F470C">
        <w:rPr>
          <w:rFonts w:cs="Arial"/>
        </w:rPr>
        <w:t xml:space="preserve"> </w:t>
      </w:r>
      <w:r w:rsidRPr="001362AB">
        <w:rPr>
          <w:rFonts w:cs="Arial"/>
        </w:rPr>
        <w:t>by the Program and Course Approval Committee.  It is important that when work experience is acceptable as a basis of admission, students must provide a written</w:t>
      </w:r>
      <w:r w:rsidRPr="002F470C">
        <w:rPr>
          <w:rFonts w:cs="Arial"/>
        </w:rPr>
        <w:t xml:space="preserve"> statement to reflect on how that experience, in terms of what they have learnt, prepares them for the program they wish to do.  Other RPL might </w:t>
      </w:r>
      <w:r w:rsidRPr="001362AB">
        <w:rPr>
          <w:rFonts w:cs="Arial"/>
        </w:rPr>
        <w:t>be professional accreditation, industry certifications, professional training courses or programs etc.  Official evidence must be provided to support any claims.</w:t>
      </w:r>
      <w:r w:rsidRPr="002F470C">
        <w:rPr>
          <w:rFonts w:cs="Arial"/>
        </w:rPr>
        <w:t xml:space="preserve"> </w:t>
      </w:r>
    </w:p>
    <w:p w:rsidR="006308AA" w:rsidRPr="00946CD5" w:rsidRDefault="006308AA" w:rsidP="006308AA">
      <w:pPr>
        <w:spacing w:after="0" w:line="240" w:lineRule="auto"/>
        <w:rPr>
          <w:rFonts w:cs="Arial"/>
          <w:sz w:val="16"/>
          <w:szCs w:val="16"/>
        </w:rPr>
      </w:pPr>
    </w:p>
    <w:p w:rsidR="006308AA" w:rsidRPr="002F470C" w:rsidRDefault="006308AA" w:rsidP="006308AA">
      <w:pPr>
        <w:spacing w:after="0" w:line="240" w:lineRule="auto"/>
        <w:rPr>
          <w:rFonts w:cs="Arial"/>
        </w:rPr>
      </w:pPr>
      <w:r w:rsidRPr="002F470C">
        <w:rPr>
          <w:rFonts w:cs="Arial"/>
        </w:rPr>
        <w:t xml:space="preserve">It is the responsibility of the Program Convenor to approve an individual student’s application for RPL </w:t>
      </w:r>
      <w:r w:rsidRPr="001362AB">
        <w:rPr>
          <w:rFonts w:cs="Arial"/>
        </w:rPr>
        <w:t>and to ensure compliance with the RPL approved for the program by the Program and Course Approval Committee.</w:t>
      </w:r>
      <w:r w:rsidRPr="002F470C">
        <w:rPr>
          <w:rFonts w:cs="Arial"/>
        </w:rPr>
        <w:t xml:space="preserve"> This approval might be after a committee within the Faculty/School/Discipline has considered each individual case or where the templates allow administrative checking. </w:t>
      </w:r>
      <w:r w:rsidRPr="001362AB">
        <w:rPr>
          <w:rFonts w:cs="Arial"/>
        </w:rPr>
        <w:t>Records of decisions about RPL must be captured within the student’s record in NUSTAR and stored on a student file that has been established within a TRIM (or similar record that can be accessed for auditing and compliance monitoring).</w:t>
      </w:r>
    </w:p>
    <w:p w:rsidR="006308AA" w:rsidRPr="00946CD5" w:rsidRDefault="006308AA" w:rsidP="006308AA">
      <w:pPr>
        <w:spacing w:after="0" w:line="240" w:lineRule="auto"/>
        <w:rPr>
          <w:rFonts w:cs="Arial"/>
          <w:sz w:val="16"/>
          <w:szCs w:val="16"/>
        </w:rPr>
      </w:pPr>
    </w:p>
    <w:p w:rsidR="006308AA" w:rsidRPr="002F470C" w:rsidRDefault="006308AA" w:rsidP="006308AA">
      <w:pPr>
        <w:spacing w:after="0" w:line="240" w:lineRule="auto"/>
        <w:rPr>
          <w:rFonts w:cs="Arial"/>
          <w:b/>
          <w:u w:val="single"/>
        </w:rPr>
      </w:pPr>
      <w:r w:rsidRPr="002F470C">
        <w:rPr>
          <w:rFonts w:cs="Arial"/>
          <w:b/>
          <w:u w:val="single"/>
        </w:rPr>
        <w:t>New Programs and Program Reviews</w:t>
      </w:r>
    </w:p>
    <w:p w:rsidR="006308AA" w:rsidRPr="002F470C" w:rsidRDefault="006308AA" w:rsidP="006308AA">
      <w:pPr>
        <w:spacing w:after="0" w:line="240" w:lineRule="auto"/>
        <w:ind w:right="-188"/>
        <w:rPr>
          <w:rFonts w:cs="Arial"/>
        </w:rPr>
      </w:pPr>
      <w:r w:rsidRPr="002F470C">
        <w:rPr>
          <w:rFonts w:cs="Arial"/>
        </w:rPr>
        <w:t>If the number of units for the program has increased as a result of AQF compliance</w:t>
      </w:r>
      <w:r>
        <w:rPr>
          <w:rFonts w:cs="Arial"/>
        </w:rPr>
        <w:t xml:space="preserve">, the Faculty </w:t>
      </w:r>
      <w:r w:rsidRPr="002F470C">
        <w:rPr>
          <w:rFonts w:cs="Arial"/>
        </w:rPr>
        <w:t>must:</w:t>
      </w:r>
    </w:p>
    <w:p w:rsidR="006308AA" w:rsidRPr="002F470C" w:rsidRDefault="006308AA" w:rsidP="006308AA">
      <w:pPr>
        <w:numPr>
          <w:ilvl w:val="0"/>
          <w:numId w:val="4"/>
        </w:numPr>
        <w:spacing w:after="0" w:line="240" w:lineRule="auto"/>
        <w:rPr>
          <w:rFonts w:cs="Arial"/>
        </w:rPr>
      </w:pPr>
      <w:r w:rsidRPr="002F470C">
        <w:rPr>
          <w:rFonts w:cs="Arial"/>
        </w:rPr>
        <w:t xml:space="preserve">complete an Abbreviated Business Plan (available on the </w:t>
      </w:r>
      <w:hyperlink r:id="rId10" w:history="1">
        <w:r w:rsidRPr="002F470C">
          <w:rPr>
            <w:rStyle w:val="Hyperlink"/>
            <w:rFonts w:cs="Arial"/>
          </w:rPr>
          <w:t>AQF Toolkit website</w:t>
        </w:r>
      </w:hyperlink>
      <w:r w:rsidRPr="002F470C">
        <w:rPr>
          <w:rFonts w:cs="Arial"/>
        </w:rPr>
        <w:t>) and receive Vice-Chancellor approval;</w:t>
      </w:r>
    </w:p>
    <w:p w:rsidR="006308AA" w:rsidRPr="002F470C" w:rsidRDefault="006308AA" w:rsidP="00712B16">
      <w:pPr>
        <w:numPr>
          <w:ilvl w:val="0"/>
          <w:numId w:val="4"/>
        </w:numPr>
        <w:spacing w:after="0" w:line="240" w:lineRule="auto"/>
        <w:ind w:right="-472"/>
        <w:rPr>
          <w:rFonts w:cs="Arial"/>
        </w:rPr>
      </w:pPr>
      <w:proofErr w:type="gramStart"/>
      <w:r w:rsidRPr="002F470C">
        <w:rPr>
          <w:rFonts w:cs="Arial"/>
        </w:rPr>
        <w:t>receive</w:t>
      </w:r>
      <w:proofErr w:type="gramEnd"/>
      <w:r w:rsidRPr="002F470C">
        <w:rPr>
          <w:rFonts w:cs="Arial"/>
        </w:rPr>
        <w:t xml:space="preserve"> approval for the new program from the Program and Course Approval Committee. This new program must have a new program code even if the name of the program is not changing;</w:t>
      </w:r>
    </w:p>
    <w:p w:rsidR="006308AA" w:rsidRPr="002F470C" w:rsidRDefault="006308AA" w:rsidP="006308AA">
      <w:pPr>
        <w:numPr>
          <w:ilvl w:val="0"/>
          <w:numId w:val="4"/>
        </w:numPr>
        <w:spacing w:after="0" w:line="240" w:lineRule="auto"/>
        <w:rPr>
          <w:rFonts w:cs="Arial"/>
        </w:rPr>
      </w:pPr>
      <w:proofErr w:type="gramStart"/>
      <w:r w:rsidRPr="002F470C">
        <w:rPr>
          <w:rFonts w:cs="Arial"/>
        </w:rPr>
        <w:t>apply</w:t>
      </w:r>
      <w:proofErr w:type="gramEnd"/>
      <w:r w:rsidRPr="002F470C">
        <w:rPr>
          <w:rFonts w:cs="Arial"/>
        </w:rPr>
        <w:t xml:space="preserve"> for and receive a new CRICOS code due to the increase in unit value.</w:t>
      </w:r>
    </w:p>
    <w:p w:rsidR="006308AA" w:rsidRPr="002F470C" w:rsidRDefault="006308AA" w:rsidP="006308AA">
      <w:pPr>
        <w:spacing w:after="0" w:line="240" w:lineRule="auto"/>
        <w:rPr>
          <w:rFonts w:cs="Arial"/>
        </w:rPr>
      </w:pPr>
    </w:p>
    <w:p w:rsidR="00A815D3" w:rsidRDefault="006308AA" w:rsidP="001C73B2">
      <w:pPr>
        <w:spacing w:after="0" w:line="240" w:lineRule="auto"/>
        <w:rPr>
          <w:rFonts w:cs="Arial"/>
          <w:i/>
          <w:sz w:val="16"/>
          <w:szCs w:val="16"/>
        </w:rPr>
      </w:pPr>
      <w:r w:rsidRPr="001C73B2">
        <w:rPr>
          <w:rFonts w:cs="Arial"/>
          <w:i/>
          <w:sz w:val="16"/>
          <w:szCs w:val="16"/>
        </w:rPr>
        <w:t xml:space="preserve">Information as at </w:t>
      </w:r>
      <w:r w:rsidR="001C73B2" w:rsidRPr="001C73B2">
        <w:rPr>
          <w:rFonts w:cs="Arial"/>
          <w:i/>
          <w:sz w:val="16"/>
          <w:szCs w:val="16"/>
        </w:rPr>
        <w:t xml:space="preserve">5 September 2013 - Approved by Chair, Program and Course Approval Committee </w:t>
      </w:r>
    </w:p>
    <w:p w:rsidR="00946CD5" w:rsidRPr="00946CD5" w:rsidRDefault="00946CD5" w:rsidP="001C73B2">
      <w:pPr>
        <w:spacing w:after="0" w:line="240" w:lineRule="auto"/>
        <w:rPr>
          <w:rFonts w:cs="Arial"/>
          <w:i/>
          <w:sz w:val="16"/>
          <w:szCs w:val="16"/>
        </w:rPr>
      </w:pPr>
      <w:r w:rsidRPr="00946CD5">
        <w:rPr>
          <w:rFonts w:cs="Arial"/>
          <w:i/>
          <w:sz w:val="16"/>
          <w:szCs w:val="16"/>
        </w:rPr>
        <w:t>Updated by Chair and Secretary, PCAC on 7 September 2013, following PCAC meeting on 5 September 2013</w:t>
      </w:r>
    </w:p>
    <w:sectPr w:rsidR="00946CD5" w:rsidRPr="00946CD5" w:rsidSect="00D21D4E">
      <w:headerReference w:type="default" r:id="rId11"/>
      <w:footerReference w:type="default" r:id="rId12"/>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AF5" w:rsidRDefault="00463AF5" w:rsidP="00CF1443">
      <w:pPr>
        <w:spacing w:after="0" w:line="240" w:lineRule="auto"/>
      </w:pPr>
      <w:r>
        <w:separator/>
      </w:r>
    </w:p>
  </w:endnote>
  <w:endnote w:type="continuationSeparator" w:id="0">
    <w:p w:rsidR="00463AF5" w:rsidRDefault="00463AF5" w:rsidP="00CF1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B2" w:rsidRPr="001C73B2" w:rsidRDefault="001C73B2" w:rsidP="001C73B2">
    <w:pPr>
      <w:pStyle w:val="Footer"/>
      <w:jc w:val="right"/>
    </w:pPr>
    <w:r w:rsidRPr="001C73B2">
      <w:t xml:space="preserve">Page </w:t>
    </w:r>
    <w:r w:rsidR="008C0E2B" w:rsidRPr="001C73B2">
      <w:rPr>
        <w:sz w:val="24"/>
        <w:szCs w:val="24"/>
      </w:rPr>
      <w:fldChar w:fldCharType="begin"/>
    </w:r>
    <w:r w:rsidRPr="001C73B2">
      <w:instrText xml:space="preserve"> PAGE </w:instrText>
    </w:r>
    <w:r w:rsidR="008C0E2B" w:rsidRPr="001C73B2">
      <w:rPr>
        <w:sz w:val="24"/>
        <w:szCs w:val="24"/>
      </w:rPr>
      <w:fldChar w:fldCharType="separate"/>
    </w:r>
    <w:r w:rsidR="00350C65">
      <w:rPr>
        <w:noProof/>
      </w:rPr>
      <w:t>4</w:t>
    </w:r>
    <w:r w:rsidR="008C0E2B" w:rsidRPr="001C73B2">
      <w:rPr>
        <w:sz w:val="24"/>
        <w:szCs w:val="24"/>
      </w:rPr>
      <w:fldChar w:fldCharType="end"/>
    </w:r>
    <w:r w:rsidRPr="001C73B2">
      <w:t xml:space="preserve"> of </w:t>
    </w:r>
    <w:r w:rsidR="008C0E2B" w:rsidRPr="001C73B2">
      <w:rPr>
        <w:sz w:val="24"/>
        <w:szCs w:val="24"/>
      </w:rPr>
      <w:fldChar w:fldCharType="begin"/>
    </w:r>
    <w:r w:rsidRPr="001C73B2">
      <w:instrText xml:space="preserve"> NUMPAGES  </w:instrText>
    </w:r>
    <w:r w:rsidR="008C0E2B" w:rsidRPr="001C73B2">
      <w:rPr>
        <w:sz w:val="24"/>
        <w:szCs w:val="24"/>
      </w:rPr>
      <w:fldChar w:fldCharType="separate"/>
    </w:r>
    <w:r w:rsidR="00350C65">
      <w:rPr>
        <w:noProof/>
      </w:rPr>
      <w:t>4</w:t>
    </w:r>
    <w:r w:rsidR="008C0E2B" w:rsidRPr="001C73B2">
      <w:rPr>
        <w:sz w:val="24"/>
        <w:szCs w:val="24"/>
      </w:rPr>
      <w:fldChar w:fldCharType="end"/>
    </w:r>
  </w:p>
  <w:p w:rsidR="00CF1443" w:rsidRPr="001C73B2" w:rsidRDefault="00CF1443" w:rsidP="001C73B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AF5" w:rsidRDefault="00463AF5" w:rsidP="00CF1443">
      <w:pPr>
        <w:spacing w:after="0" w:line="240" w:lineRule="auto"/>
      </w:pPr>
      <w:r>
        <w:separator/>
      </w:r>
    </w:p>
  </w:footnote>
  <w:footnote w:type="continuationSeparator" w:id="0">
    <w:p w:rsidR="00463AF5" w:rsidRDefault="00463AF5" w:rsidP="00CF1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24C" w:rsidRPr="007B024C" w:rsidRDefault="007B024C">
    <w:pPr>
      <w:pStyle w:val="Header"/>
      <w:rPr>
        <w:b/>
      </w:rPr>
    </w:pPr>
    <w:r>
      <w:rPr>
        <w:b/>
      </w:rPr>
      <w:t>Doc PCAC13:068</w:t>
    </w:r>
    <w:r w:rsidR="001C73B2">
      <w:rPr>
        <w:b/>
      </w:rPr>
      <w:t>a</w:t>
    </w:r>
  </w:p>
  <w:p w:rsidR="007B024C" w:rsidRDefault="007B0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7EDC"/>
    <w:multiLevelType w:val="hybridMultilevel"/>
    <w:tmpl w:val="47A4E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5944677"/>
    <w:multiLevelType w:val="hybridMultilevel"/>
    <w:tmpl w:val="160050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9DC16BA"/>
    <w:multiLevelType w:val="hybridMultilevel"/>
    <w:tmpl w:val="E6B0B4BA"/>
    <w:lvl w:ilvl="0" w:tplc="3C667D6A">
      <w:start w:val="4"/>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1845B06"/>
    <w:multiLevelType w:val="hybridMultilevel"/>
    <w:tmpl w:val="52CA87D2"/>
    <w:lvl w:ilvl="0" w:tplc="BCE636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3826B52"/>
    <w:multiLevelType w:val="hybridMultilevel"/>
    <w:tmpl w:val="054E02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44317A7"/>
    <w:multiLevelType w:val="hybridMultilevel"/>
    <w:tmpl w:val="22FA11DE"/>
    <w:lvl w:ilvl="0" w:tplc="3C667D6A">
      <w:start w:val="4"/>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4722"/>
    <w:rsid w:val="0001605F"/>
    <w:rsid w:val="000669C0"/>
    <w:rsid w:val="00075134"/>
    <w:rsid w:val="000B0227"/>
    <w:rsid w:val="000E0A16"/>
    <w:rsid w:val="000F2B39"/>
    <w:rsid w:val="001326F6"/>
    <w:rsid w:val="0016514F"/>
    <w:rsid w:val="001C73B2"/>
    <w:rsid w:val="001D11ED"/>
    <w:rsid w:val="0022531B"/>
    <w:rsid w:val="002C608E"/>
    <w:rsid w:val="002F02BF"/>
    <w:rsid w:val="0030532E"/>
    <w:rsid w:val="00313695"/>
    <w:rsid w:val="00350C65"/>
    <w:rsid w:val="00373CF2"/>
    <w:rsid w:val="003815B1"/>
    <w:rsid w:val="003A6005"/>
    <w:rsid w:val="003D77E2"/>
    <w:rsid w:val="00463AF5"/>
    <w:rsid w:val="00467A99"/>
    <w:rsid w:val="004A6E4E"/>
    <w:rsid w:val="004B136B"/>
    <w:rsid w:val="004B7353"/>
    <w:rsid w:val="005E2D9E"/>
    <w:rsid w:val="006308AA"/>
    <w:rsid w:val="00643FD5"/>
    <w:rsid w:val="006921E4"/>
    <w:rsid w:val="006D1DA6"/>
    <w:rsid w:val="00702900"/>
    <w:rsid w:val="00712B16"/>
    <w:rsid w:val="00713EC0"/>
    <w:rsid w:val="00751E9D"/>
    <w:rsid w:val="00791A40"/>
    <w:rsid w:val="007A78C8"/>
    <w:rsid w:val="007B024C"/>
    <w:rsid w:val="007B1340"/>
    <w:rsid w:val="007C7396"/>
    <w:rsid w:val="008A2520"/>
    <w:rsid w:val="008C0E2B"/>
    <w:rsid w:val="008D587A"/>
    <w:rsid w:val="008E0A15"/>
    <w:rsid w:val="00946CD5"/>
    <w:rsid w:val="0097695A"/>
    <w:rsid w:val="00A03A1D"/>
    <w:rsid w:val="00A114F7"/>
    <w:rsid w:val="00A6399C"/>
    <w:rsid w:val="00A815D3"/>
    <w:rsid w:val="00A83BA1"/>
    <w:rsid w:val="00AA456B"/>
    <w:rsid w:val="00AD2E7E"/>
    <w:rsid w:val="00B075AB"/>
    <w:rsid w:val="00B34450"/>
    <w:rsid w:val="00B37CCA"/>
    <w:rsid w:val="00B434F4"/>
    <w:rsid w:val="00B55722"/>
    <w:rsid w:val="00B579DE"/>
    <w:rsid w:val="00B9589B"/>
    <w:rsid w:val="00BA043C"/>
    <w:rsid w:val="00BC3F09"/>
    <w:rsid w:val="00BF1FF5"/>
    <w:rsid w:val="00C02AA0"/>
    <w:rsid w:val="00C1591B"/>
    <w:rsid w:val="00C161E6"/>
    <w:rsid w:val="00C21146"/>
    <w:rsid w:val="00C64B89"/>
    <w:rsid w:val="00CA1139"/>
    <w:rsid w:val="00CA4722"/>
    <w:rsid w:val="00CA667A"/>
    <w:rsid w:val="00CF1443"/>
    <w:rsid w:val="00CF1F24"/>
    <w:rsid w:val="00D034EB"/>
    <w:rsid w:val="00D15C58"/>
    <w:rsid w:val="00D21D4E"/>
    <w:rsid w:val="00D27410"/>
    <w:rsid w:val="00D335AF"/>
    <w:rsid w:val="00DB086E"/>
    <w:rsid w:val="00DC4D9E"/>
    <w:rsid w:val="00DD7613"/>
    <w:rsid w:val="00E130BB"/>
    <w:rsid w:val="00ED6BC8"/>
    <w:rsid w:val="00F04E0A"/>
    <w:rsid w:val="00F24508"/>
    <w:rsid w:val="00F25122"/>
    <w:rsid w:val="00F35ADE"/>
    <w:rsid w:val="00F83E71"/>
    <w:rsid w:val="00FF3AFF"/>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40"/>
    <w:pPr>
      <w:ind w:left="720"/>
      <w:contextualSpacing/>
    </w:pPr>
  </w:style>
  <w:style w:type="character" w:styleId="EndnoteReference">
    <w:name w:val="endnote reference"/>
    <w:basedOn w:val="DefaultParagraphFont"/>
    <w:uiPriority w:val="99"/>
    <w:semiHidden/>
    <w:unhideWhenUsed/>
    <w:rsid w:val="00A815D3"/>
  </w:style>
  <w:style w:type="paragraph" w:styleId="Header">
    <w:name w:val="header"/>
    <w:basedOn w:val="Normal"/>
    <w:link w:val="HeaderChar"/>
    <w:uiPriority w:val="99"/>
    <w:unhideWhenUsed/>
    <w:rsid w:val="00CF1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443"/>
  </w:style>
  <w:style w:type="paragraph" w:styleId="Footer">
    <w:name w:val="footer"/>
    <w:basedOn w:val="Normal"/>
    <w:link w:val="FooterChar"/>
    <w:uiPriority w:val="99"/>
    <w:unhideWhenUsed/>
    <w:rsid w:val="00CF1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443"/>
  </w:style>
  <w:style w:type="character" w:styleId="Hyperlink">
    <w:name w:val="Hyperlink"/>
    <w:rsid w:val="006308AA"/>
    <w:rPr>
      <w:color w:val="0000FF"/>
      <w:u w:val="single"/>
    </w:rPr>
  </w:style>
  <w:style w:type="paragraph" w:styleId="BalloonText">
    <w:name w:val="Balloon Text"/>
    <w:basedOn w:val="Normal"/>
    <w:link w:val="BalloonTextChar"/>
    <w:uiPriority w:val="99"/>
    <w:semiHidden/>
    <w:unhideWhenUsed/>
    <w:rsid w:val="00630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8AA"/>
    <w:rPr>
      <w:rFonts w:ascii="Tahoma" w:hAnsi="Tahoma" w:cs="Tahoma"/>
      <w:sz w:val="16"/>
      <w:szCs w:val="16"/>
    </w:rPr>
  </w:style>
  <w:style w:type="paragraph" w:styleId="NoSpacing">
    <w:name w:val="No Spacing"/>
    <w:uiPriority w:val="1"/>
    <w:qFormat/>
    <w:rsid w:val="00C2114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68872185">
      <w:bodyDiv w:val="1"/>
      <w:marLeft w:val="0"/>
      <w:marRight w:val="0"/>
      <w:marTop w:val="150"/>
      <w:marBottom w:val="0"/>
      <w:divBdr>
        <w:top w:val="none" w:sz="0" w:space="0" w:color="auto"/>
        <w:left w:val="none" w:sz="0" w:space="0" w:color="auto"/>
        <w:bottom w:val="none" w:sz="0" w:space="0" w:color="auto"/>
        <w:right w:val="none" w:sz="0" w:space="0" w:color="auto"/>
      </w:divBdr>
      <w:divsChild>
        <w:div w:id="1308364549">
          <w:marLeft w:val="0"/>
          <w:marRight w:val="0"/>
          <w:marTop w:val="0"/>
          <w:marBottom w:val="0"/>
          <w:divBdr>
            <w:top w:val="single" w:sz="6" w:space="0" w:color="CCCCCC"/>
            <w:left w:val="single" w:sz="6" w:space="0" w:color="CCCCCC"/>
            <w:bottom w:val="single" w:sz="6" w:space="0" w:color="CCCCCC"/>
            <w:right w:val="single" w:sz="6" w:space="0" w:color="CCCCCC"/>
          </w:divBdr>
          <w:divsChild>
            <w:div w:id="1296327696">
              <w:marLeft w:val="0"/>
              <w:marRight w:val="0"/>
              <w:marTop w:val="0"/>
              <w:marBottom w:val="0"/>
              <w:divBdr>
                <w:top w:val="none" w:sz="0" w:space="0" w:color="auto"/>
                <w:left w:val="none" w:sz="0" w:space="0" w:color="auto"/>
                <w:bottom w:val="none" w:sz="0" w:space="0" w:color="auto"/>
                <w:right w:val="none" w:sz="0" w:space="0" w:color="auto"/>
              </w:divBdr>
              <w:divsChild>
                <w:div w:id="1662922567">
                  <w:marLeft w:val="0"/>
                  <w:marRight w:val="0"/>
                  <w:marTop w:val="0"/>
                  <w:marBottom w:val="0"/>
                  <w:divBdr>
                    <w:top w:val="none" w:sz="0" w:space="0" w:color="auto"/>
                    <w:left w:val="none" w:sz="0" w:space="0" w:color="auto"/>
                    <w:bottom w:val="none" w:sz="0" w:space="0" w:color="auto"/>
                    <w:right w:val="none" w:sz="0" w:space="0" w:color="auto"/>
                  </w:divBdr>
                  <w:divsChild>
                    <w:div w:id="2070029584">
                      <w:marLeft w:val="0"/>
                      <w:marRight w:val="0"/>
                      <w:marTop w:val="0"/>
                      <w:marBottom w:val="0"/>
                      <w:divBdr>
                        <w:top w:val="none" w:sz="0" w:space="0" w:color="auto"/>
                        <w:left w:val="none" w:sz="0" w:space="0" w:color="auto"/>
                        <w:bottom w:val="none" w:sz="0" w:space="0" w:color="auto"/>
                        <w:right w:val="none" w:sz="0" w:space="0" w:color="auto"/>
                      </w:divBdr>
                      <w:divsChild>
                        <w:div w:id="136144206">
                          <w:marLeft w:val="0"/>
                          <w:marRight w:val="0"/>
                          <w:marTop w:val="0"/>
                          <w:marBottom w:val="150"/>
                          <w:divBdr>
                            <w:top w:val="none" w:sz="0" w:space="0" w:color="auto"/>
                            <w:left w:val="none" w:sz="0" w:space="0" w:color="auto"/>
                            <w:bottom w:val="none" w:sz="0" w:space="0" w:color="auto"/>
                            <w:right w:val="none" w:sz="0" w:space="0" w:color="auto"/>
                          </w:divBdr>
                          <w:divsChild>
                            <w:div w:id="727803257">
                              <w:marLeft w:val="761"/>
                              <w:marRight w:val="7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edu.au/policy/00028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newcastle.edu.au/service/committees/senate/aqf-toolki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10610</CharactersWithSpaces>
  <SharedDoc>false</SharedDoc>
  <HLinks>
    <vt:vector size="12" baseType="variant">
      <vt:variant>
        <vt:i4>6619243</vt:i4>
      </vt:variant>
      <vt:variant>
        <vt:i4>3</vt:i4>
      </vt:variant>
      <vt:variant>
        <vt:i4>0</vt:i4>
      </vt:variant>
      <vt:variant>
        <vt:i4>5</vt:i4>
      </vt:variant>
      <vt:variant>
        <vt:lpwstr>http://www.newcastle.edu.au/service/committees/senate/aqf-toolkit.html</vt:lpwstr>
      </vt:variant>
      <vt:variant>
        <vt:lpwstr/>
      </vt:variant>
      <vt:variant>
        <vt:i4>6684678</vt:i4>
      </vt:variant>
      <vt:variant>
        <vt:i4>0</vt:i4>
      </vt:variant>
      <vt:variant>
        <vt:i4>0</vt:i4>
      </vt:variant>
      <vt:variant>
        <vt:i4>5</vt:i4>
      </vt:variant>
      <vt:variant>
        <vt:lpwstr>http://www.newcastle.edu.au/policy/000282.html</vt:lpwstr>
      </vt:variant>
      <vt:variant>
        <vt:lpwstr>_edn1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dc:creator>
  <cp:keywords/>
  <cp:lastModifiedBy>UoN</cp:lastModifiedBy>
  <cp:revision>4</cp:revision>
  <cp:lastPrinted>2013-09-13T04:58:00Z</cp:lastPrinted>
  <dcterms:created xsi:type="dcterms:W3CDTF">2013-09-13T01:14:00Z</dcterms:created>
  <dcterms:modified xsi:type="dcterms:W3CDTF">2013-09-13T05:01:00Z</dcterms:modified>
</cp:coreProperties>
</file>